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0197CA" w:val="clear"/>
            <w:tcMar>
              <w:top w:type="dxa" w:w="100"/>
              <w:left w:type="dxa" w:w="140"/>
              <w:bottom w:type="dxa" w:w="100"/>
              <w:right w:type="dxa" w:w="140"/>
            </w:tcMar>
            <w:vAlign w:val="center"/>
          </w:tcPr>
          <w:p>
            <w:pPr>
              <w:spacing w:after="60" w:before="60"/>
              <w:jc w:val="center"/>
            </w:pPr>
            <w:r>
              <w:rPr>
                <w:rFonts w:ascii="Arial" w:cs="Arial" w:eastAsia="Arial" w:hAnsi="Arial"/>
                <w:b/>
                <w:bCs/>
                <w:i w:val="false"/>
                <w:iCs w:val="false"/>
                <w:color w:val="FFFFFF"/>
                <w:sz w:val="18"/>
                <w:szCs w:val="18"/>
              </w:rPr>
              <w:t xml:space="preserve">NAVIGATOR C.O.R.E.  ·  HELP WANTED  ·  Network Navigator  ·  Birmingham, Alabama  ·  2026</w:t>
            </w:r>
          </w:p>
        </w:tc>
      </w:tr>
    </w:tbl>
    <w:p>
      <w:pPr>
        <w:spacing w:after="120" w:before="120"/>
      </w:pPr>
      <w:r>
        <w:t xml:space="preserve"/>
      </w:r>
    </w:p>
    <w:p>
      <w:pPr>
        <w:spacing w:after="20" w:before="60"/>
        <w:jc w:val="center"/>
      </w:pPr>
      <w:r>
        <w:rPr>
          <w:rFonts w:ascii="Arial" w:cs="Arial" w:eastAsia="Arial" w:hAnsi="Arial"/>
          <w:b/>
          <w:bCs/>
          <w:i w:val="false"/>
          <w:iCs w:val="false"/>
          <w:color w:val="80C342"/>
          <w:sz w:val="48"/>
          <w:szCs w:val="48"/>
        </w:rPr>
        <w:t xml:space="preserve">NAVIGATOR C.O.R.E.</w:t>
      </w:r>
    </w:p>
    <w:p>
      <w:pPr>
        <w:spacing w:after="40" w:before="20"/>
        <w:jc w:val="center"/>
      </w:pPr>
      <w:r>
        <w:rPr>
          <w:rFonts w:ascii="Arial" w:cs="Arial" w:eastAsia="Arial" w:hAnsi="Arial"/>
          <w:b/>
          <w:bCs/>
          <w:i w:val="false"/>
          <w:iCs w:val="false"/>
          <w:color w:val="0197CA"/>
          <w:sz w:val="56"/>
          <w:szCs w:val="56"/>
        </w:rPr>
        <w:t xml:space="preserve">HELP WANTED</w:t>
      </w:r>
    </w:p>
    <w:p>
      <w:pPr>
        <w:spacing w:after="40" w:before="40"/>
        <w:jc w:val="center"/>
      </w:pPr>
      <w:r>
        <w:rPr>
          <w:rFonts w:ascii="Arial" w:cs="Arial" w:eastAsia="Arial" w:hAnsi="Arial"/>
          <w:b w:val="false"/>
          <w:bCs w:val="false"/>
          <w:i/>
          <w:iCs/>
          <w:color w:val="010100"/>
          <w:sz w:val="24"/>
          <w:szCs w:val="24"/>
        </w:rPr>
        <w:t xml:space="preserve">Why Small Businesses Struggle to Receive the Support They Need</w:t>
      </w:r>
    </w:p>
    <w:p>
      <w:pPr>
        <w:spacing w:after="20" w:before="20"/>
        <w:jc w:val="center"/>
      </w:pPr>
      <w:r>
        <w:rPr>
          <w:rFonts w:ascii="Arial" w:cs="Arial" w:eastAsia="Arial" w:hAnsi="Arial"/>
          <w:b w:val="false"/>
          <w:bCs w:val="false"/>
          <w:i w:val="false"/>
          <w:iCs w:val="false"/>
          <w:color w:val="010100"/>
          <w:sz w:val="20"/>
          <w:szCs w:val="20"/>
        </w:rPr>
        <w:t xml:space="preserve">A Field Report from the Navigator C.O.R.E. Pilot Program</w:t>
      </w:r>
    </w:p>
    <w:p>
      <w:pPr>
        <w:spacing w:after="120" w:before="20"/>
        <w:jc w:val="center"/>
      </w:pPr>
      <w:r>
        <w:rPr>
          <w:rFonts w:ascii="Arial" w:cs="Arial" w:eastAsia="Arial" w:hAnsi="Arial"/>
          <w:b w:val="false"/>
          <w:bCs w:val="false"/>
          <w:i w:val="false"/>
          <w:iCs w:val="false"/>
          <w:color w:val="555555"/>
          <w:sz w:val="20"/>
          <w:szCs w:val="20"/>
        </w:rPr>
        <w:t xml:space="preserve">Network Navigator  ·  Birmingham, Alabama  ·  August 2025 to April 2026</w:t>
      </w:r>
    </w:p>
    <w:p>
      <w:pPr>
        <w:spacing w:after="40" w:before="80"/>
        <w:jc w:val="left"/>
      </w:pPr>
      <w:r>
        <w:rPr>
          <w:rFonts w:ascii="Arial" w:cs="Arial" w:eastAsia="Arial" w:hAnsi="Arial"/>
          <w:b/>
          <w:bCs/>
          <w:i w:val="false"/>
          <w:iCs w:val="false"/>
          <w:color w:val="010100"/>
          <w:sz w:val="22"/>
          <w:szCs w:val="22"/>
        </w:rPr>
        <w:t xml:space="preserve">Pilot Snapshot  ·  Aug 2025 to Apr 2026</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CCCCCC" w:sz="1"/>
              <w:left w:val="single" w:color="CCCCCC" w:sz="1"/>
              <w:bottom w:val="single" w:color="CCCCCC" w:sz="1"/>
              <w:right w:val="single" w:color="CCCCCC" w:sz="1"/>
            </w:tcBorders>
            <w:shd w:fill="EDF7E3" w:val="clear"/>
            <w:tcMar>
              <w:top w:type="dxa" w:w="100"/>
              <w:left w:type="dxa" w:w="140"/>
              <w:bottom w:type="dxa" w:w="100"/>
              <w:right w:type="dxa" w:w="140"/>
            </w:tcMar>
            <w:vAlign w:val="center"/>
          </w:tcPr>
          <w:p>
            <w:pPr>
              <w:spacing w:after="60" w:before="60"/>
              <w:jc w:val="center"/>
            </w:pPr>
            <w:r>
              <w:rPr>
                <w:rFonts w:ascii="Arial" w:cs="Arial" w:eastAsia="Arial" w:hAnsi="Arial"/>
                <w:b/>
                <w:bCs/>
                <w:i w:val="false"/>
                <w:iCs w:val="false"/>
                <w:color w:val="80C342"/>
                <w:sz w:val="36"/>
                <w:szCs w:val="36"/>
              </w:rPr>
              <w:t xml:space="preserve">12</w:t>
            </w:r>
          </w:p>
          <w:p>
            <w:pPr>
              <w:spacing w:after="60" w:before="60"/>
              <w:jc w:val="center"/>
            </w:pPr>
            <w:r>
              <w:rPr>
                <w:rFonts w:ascii="Arial" w:cs="Arial" w:eastAsia="Arial" w:hAnsi="Arial"/>
                <w:b w:val="false"/>
                <w:bCs w:val="false"/>
                <w:i w:val="false"/>
                <w:iCs w:val="false"/>
                <w:color w:val="010100"/>
                <w:sz w:val="18"/>
                <w:szCs w:val="18"/>
              </w:rPr>
              <w:t xml:space="preserve">Entrepreneurs Served</w:t>
            </w:r>
          </w:p>
        </w:tc>
        <w:tc>
          <w:tcPr>
            <w:tcW w:type="dxa" w:w="3120"/>
            <w:tcBorders>
              <w:top w:val="single" w:color="CCCCCC" w:sz="1"/>
              <w:left w:val="single" w:color="CCCCCC" w:sz="1"/>
              <w:bottom w:val="single" w:color="CCCCCC" w:sz="1"/>
              <w:right w:val="single" w:color="CCCCCC" w:sz="1"/>
            </w:tcBorders>
            <w:shd w:fill="EDF7E3" w:val="clear"/>
            <w:tcMar>
              <w:top w:type="dxa" w:w="100"/>
              <w:left w:type="dxa" w:w="140"/>
              <w:bottom w:type="dxa" w:w="100"/>
              <w:right w:type="dxa" w:w="140"/>
            </w:tcMar>
            <w:vAlign w:val="center"/>
          </w:tcPr>
          <w:p>
            <w:pPr>
              <w:spacing w:after="60" w:before="60"/>
              <w:jc w:val="center"/>
            </w:pPr>
            <w:r>
              <w:rPr>
                <w:rFonts w:ascii="Arial" w:cs="Arial" w:eastAsia="Arial" w:hAnsi="Arial"/>
                <w:b/>
                <w:bCs/>
                <w:i w:val="false"/>
                <w:iCs w:val="false"/>
                <w:color w:val="80C342"/>
                <w:sz w:val="36"/>
                <w:szCs w:val="36"/>
              </w:rPr>
              <w:t xml:space="preserve">17</w:t>
            </w:r>
          </w:p>
          <w:p>
            <w:pPr>
              <w:spacing w:after="60" w:before="60"/>
              <w:jc w:val="center"/>
            </w:pPr>
            <w:r>
              <w:rPr>
                <w:rFonts w:ascii="Arial" w:cs="Arial" w:eastAsia="Arial" w:hAnsi="Arial"/>
                <w:b w:val="false"/>
                <w:bCs w:val="false"/>
                <w:i w:val="false"/>
                <w:iCs w:val="false"/>
                <w:color w:val="010100"/>
                <w:sz w:val="18"/>
                <w:szCs w:val="18"/>
              </w:rPr>
              <w:t xml:space="preserve">TA Providers Engaged</w:t>
            </w:r>
          </w:p>
        </w:tc>
        <w:tc>
          <w:tcPr>
            <w:tcW w:type="dxa" w:w="3120"/>
            <w:tcBorders>
              <w:top w:val="single" w:color="CCCCCC" w:sz="1"/>
              <w:left w:val="single" w:color="CCCCCC" w:sz="1"/>
              <w:bottom w:val="single" w:color="CCCCCC" w:sz="1"/>
              <w:right w:val="single" w:color="CCCCCC" w:sz="1"/>
            </w:tcBorders>
            <w:shd w:fill="EDF7E3" w:val="clear"/>
            <w:tcMar>
              <w:top w:type="dxa" w:w="100"/>
              <w:left w:type="dxa" w:w="140"/>
              <w:bottom w:type="dxa" w:w="100"/>
              <w:right w:type="dxa" w:w="140"/>
            </w:tcMar>
            <w:vAlign w:val="center"/>
          </w:tcPr>
          <w:p>
            <w:pPr>
              <w:spacing w:after="60" w:before="60"/>
              <w:jc w:val="center"/>
            </w:pPr>
            <w:r>
              <w:rPr>
                <w:rFonts w:ascii="Arial" w:cs="Arial" w:eastAsia="Arial" w:hAnsi="Arial"/>
                <w:b/>
                <w:bCs/>
                <w:i w:val="false"/>
                <w:iCs w:val="false"/>
                <w:color w:val="80C342"/>
                <w:sz w:val="36"/>
                <w:szCs w:val="36"/>
              </w:rPr>
              <w:t xml:space="preserve">250+</w:t>
            </w:r>
          </w:p>
          <w:p>
            <w:pPr>
              <w:spacing w:after="60" w:before="60"/>
              <w:jc w:val="center"/>
            </w:pPr>
            <w:r>
              <w:rPr>
                <w:rFonts w:ascii="Arial" w:cs="Arial" w:eastAsia="Arial" w:hAnsi="Arial"/>
                <w:b w:val="false"/>
                <w:bCs w:val="false"/>
                <w:i w:val="false"/>
                <w:iCs w:val="false"/>
                <w:color w:val="010100"/>
                <w:sz w:val="18"/>
                <w:szCs w:val="18"/>
              </w:rPr>
              <w:t xml:space="preserve">Applications Across the Ecosystem</w:t>
            </w:r>
          </w:p>
        </w:tc>
      </w:tr>
      <w:tr>
        <w:tc>
          <w:tcPr>
            <w:tcW w:type="dxa" w:w="3120"/>
            <w:tcBorders>
              <w:top w:val="single" w:color="CCCCCC" w:sz="1"/>
              <w:left w:val="single" w:color="CCCCCC" w:sz="1"/>
              <w:bottom w:val="single" w:color="CCCCCC" w:sz="1"/>
              <w:right w:val="single" w:color="CCCCCC" w:sz="1"/>
            </w:tcBorders>
            <w:shd w:fill="EDF7E3" w:val="clear"/>
            <w:tcMar>
              <w:top w:type="dxa" w:w="100"/>
              <w:left w:type="dxa" w:w="140"/>
              <w:bottom w:type="dxa" w:w="100"/>
              <w:right w:type="dxa" w:w="140"/>
            </w:tcMar>
            <w:vAlign w:val="center"/>
          </w:tcPr>
          <w:p>
            <w:pPr>
              <w:spacing w:after="60" w:before="60"/>
              <w:jc w:val="center"/>
            </w:pPr>
            <w:r>
              <w:rPr>
                <w:rFonts w:ascii="Arial" w:cs="Arial" w:eastAsia="Arial" w:hAnsi="Arial"/>
                <w:b/>
                <w:bCs/>
                <w:i w:val="false"/>
                <w:iCs w:val="false"/>
                <w:color w:val="80C342"/>
                <w:sz w:val="36"/>
                <w:szCs w:val="36"/>
              </w:rPr>
              <w:t xml:space="preserve">9 Mo.</w:t>
            </w:r>
          </w:p>
          <w:p>
            <w:pPr>
              <w:spacing w:after="60" w:before="60"/>
              <w:jc w:val="center"/>
            </w:pPr>
            <w:r>
              <w:rPr>
                <w:rFonts w:ascii="Arial" w:cs="Arial" w:eastAsia="Arial" w:hAnsi="Arial"/>
                <w:b w:val="false"/>
                <w:bCs w:val="false"/>
                <w:i w:val="false"/>
                <w:iCs w:val="false"/>
                <w:color w:val="010100"/>
                <w:sz w:val="18"/>
                <w:szCs w:val="18"/>
              </w:rPr>
              <w:t xml:space="preserve">Sustained TA Delivered</w:t>
            </w:r>
          </w:p>
        </w:tc>
        <w:tc>
          <w:tcPr>
            <w:tcW w:type="dxa" w:w="3120"/>
            <w:tcBorders>
              <w:top w:val="single" w:color="CCCCCC" w:sz="1"/>
              <w:left w:val="single" w:color="CCCCCC" w:sz="1"/>
              <w:bottom w:val="single" w:color="CCCCCC" w:sz="1"/>
              <w:right w:val="single" w:color="CCCCCC" w:sz="1"/>
            </w:tcBorders>
            <w:shd w:fill="EDF7E3" w:val="clear"/>
            <w:tcMar>
              <w:top w:type="dxa" w:w="100"/>
              <w:left w:type="dxa" w:w="140"/>
              <w:bottom w:type="dxa" w:w="100"/>
              <w:right w:type="dxa" w:w="140"/>
            </w:tcMar>
            <w:vAlign w:val="center"/>
          </w:tcPr>
          <w:p>
            <w:pPr>
              <w:spacing w:after="60" w:before="60"/>
              <w:jc w:val="center"/>
            </w:pPr>
            <w:r>
              <w:rPr>
                <w:rFonts w:ascii="Arial" w:cs="Arial" w:eastAsia="Arial" w:hAnsi="Arial"/>
                <w:b/>
                <w:bCs/>
                <w:i w:val="false"/>
                <w:iCs w:val="false"/>
                <w:color w:val="80C342"/>
                <w:sz w:val="36"/>
                <w:szCs w:val="36"/>
              </w:rPr>
              <w:t xml:space="preserve">100%</w:t>
            </w:r>
          </w:p>
          <w:p>
            <w:pPr>
              <w:spacing w:after="60" w:before="60"/>
              <w:jc w:val="center"/>
            </w:pPr>
            <w:r>
              <w:rPr>
                <w:rFonts w:ascii="Arial" w:cs="Arial" w:eastAsia="Arial" w:hAnsi="Arial"/>
                <w:b w:val="false"/>
                <w:bCs w:val="false"/>
                <w:i w:val="false"/>
                <w:iCs w:val="false"/>
                <w:color w:val="010100"/>
                <w:sz w:val="18"/>
                <w:szCs w:val="18"/>
              </w:rPr>
              <w:t xml:space="preserve">Cohort Completion Rate</w:t>
            </w:r>
          </w:p>
        </w:tc>
        <w:tc>
          <w:tcPr>
            <w:tcW w:type="dxa" w:w="3120"/>
            <w:tcBorders>
              <w:top w:val="single" w:color="CCCCCC" w:sz="1"/>
              <w:left w:val="single" w:color="CCCCCC" w:sz="1"/>
              <w:bottom w:val="single" w:color="CCCCCC" w:sz="1"/>
              <w:right w:val="single" w:color="CCCCCC" w:sz="1"/>
            </w:tcBorders>
            <w:shd w:fill="EDF7E3" w:val="clear"/>
            <w:tcMar>
              <w:top w:type="dxa" w:w="100"/>
              <w:left w:type="dxa" w:w="140"/>
              <w:bottom w:type="dxa" w:w="100"/>
              <w:right w:type="dxa" w:w="140"/>
            </w:tcMar>
            <w:vAlign w:val="center"/>
          </w:tcPr>
          <w:p>
            <w:pPr>
              <w:spacing w:after="60" w:before="60"/>
              <w:jc w:val="center"/>
            </w:pPr>
            <w:r>
              <w:rPr>
                <w:rFonts w:ascii="Arial" w:cs="Arial" w:eastAsia="Arial" w:hAnsi="Arial"/>
                <w:b/>
                <w:bCs/>
                <w:i w:val="false"/>
                <w:iCs w:val="false"/>
                <w:color w:val="80C342"/>
                <w:sz w:val="36"/>
                <w:szCs w:val="36"/>
              </w:rPr>
              <w:t xml:space="preserve">$9,416</w:t>
            </w:r>
          </w:p>
          <w:p>
            <w:pPr>
              <w:spacing w:after="60" w:before="60"/>
              <w:jc w:val="center"/>
            </w:pPr>
            <w:r>
              <w:rPr>
                <w:rFonts w:ascii="Arial" w:cs="Arial" w:eastAsia="Arial" w:hAnsi="Arial"/>
                <w:b w:val="false"/>
                <w:bCs w:val="false"/>
                <w:i w:val="false"/>
                <w:iCs w:val="false"/>
                <w:color w:val="010100"/>
                <w:sz w:val="18"/>
                <w:szCs w:val="18"/>
              </w:rPr>
              <w:t xml:space="preserve">Total Program Investment Per Entrepreneur</w:t>
            </w:r>
          </w:p>
        </w:tc>
      </w:tr>
    </w:tbl>
    <w:p>
      <w:pPr>
        <w:spacing w:after="40" w:before="4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EDF7E3" w:val="clear"/>
            <w:tcMar>
              <w:top w:type="dxa" w:w="100"/>
              <w:left w:type="dxa" w:w="140"/>
              <w:bottom w:type="dxa" w:w="100"/>
              <w:right w:type="dxa" w:w="140"/>
            </w:tcMar>
            <w:vAlign w:val="center"/>
          </w:tcPr>
          <w:p>
            <w:pPr>
              <w:spacing w:after="60" w:before="60"/>
              <w:jc w:val="center"/>
            </w:pPr>
            <w:r>
              <w:rPr>
                <w:rFonts w:ascii="Arial" w:cs="Arial" w:eastAsia="Arial" w:hAnsi="Arial"/>
                <w:b/>
                <w:bCs/>
                <w:i w:val="false"/>
                <w:iCs w:val="false"/>
                <w:color w:val="80C342"/>
                <w:sz w:val="36"/>
                <w:szCs w:val="36"/>
              </w:rPr>
              <w:t xml:space="preserve">$62</w:t>
            </w:r>
          </w:p>
          <w:p>
            <w:pPr>
              <w:spacing w:after="60" w:before="60"/>
              <w:jc w:val="center"/>
            </w:pPr>
            <w:r>
              <w:rPr>
                <w:rFonts w:ascii="Arial" w:cs="Arial" w:eastAsia="Arial" w:hAnsi="Arial"/>
                <w:b w:val="false"/>
                <w:bCs w:val="false"/>
                <w:i w:val="false"/>
                <w:iCs w:val="false"/>
                <w:color w:val="010100"/>
                <w:sz w:val="18"/>
                <w:szCs w:val="18"/>
              </w:rPr>
              <w:t xml:space="preserve">Cost Per Hour of TA Delivered to Local Providers</w:t>
            </w:r>
          </w:p>
        </w:tc>
      </w:tr>
    </w:tbl>
    <w:p>
      <w:pPr>
        <w:spacing w:after="120" w:before="120"/>
      </w:pPr>
      <w:r>
        <w:t xml:space="preserve"/>
      </w:r>
    </w:p>
    <w:p>
      <w:pPr>
        <w:spacing w:after="40" w:before="200"/>
        <w:jc w:val="left"/>
      </w:pPr>
      <w:r>
        <w:rPr>
          <w:rFonts w:ascii="Arial" w:cs="Arial" w:eastAsia="Arial" w:hAnsi="Arial"/>
          <w:b/>
          <w:bCs/>
          <w:i w:val="false"/>
          <w:iCs w:val="false"/>
          <w:color w:val="80C342"/>
          <w:sz w:val="18"/>
          <w:szCs w:val="18"/>
        </w:rPr>
        <w:t xml:space="preserve">THE REAL QUESTION</w:t>
      </w:r>
    </w:p>
    <w:p>
      <w:pPr>
        <w:spacing w:after="80" w:before="80"/>
        <w:jc w:val="left"/>
      </w:pPr>
      <w:r>
        <w:rPr>
          <w:rFonts w:ascii="Arial" w:cs="Arial" w:eastAsia="Arial" w:hAnsi="Arial"/>
          <w:b/>
          <w:bCs/>
          <w:i w:val="false"/>
          <w:iCs w:val="false"/>
          <w:color w:val="010100"/>
          <w:sz w:val="28"/>
          <w:szCs w:val="28"/>
        </w:rPr>
        <w:t xml:space="preserve">This Wasn’t a Program Report. It Was a Live Experiment.</w:t>
      </w:r>
    </w:p>
    <w:p>
      <w:pPr>
        <w:spacing w:after="80" w:before="60"/>
        <w:jc w:val="left"/>
      </w:pPr>
      <w:r>
        <w:rPr>
          <w:rFonts w:ascii="Arial" w:cs="Arial" w:eastAsia="Arial" w:hAnsi="Arial"/>
          <w:b w:val="false"/>
          <w:bCs w:val="false"/>
          <w:i w:val="false"/>
          <w:iCs w:val="false"/>
          <w:color w:val="010100"/>
          <w:sz w:val="22"/>
          <w:szCs w:val="22"/>
        </w:rPr>
        <w:t xml:space="preserve">Lots of organizations serve small businesses. They hold workshops. They make referrals. They publish resource guides. What almost no one does is stay.</w:t>
      </w:r>
    </w:p>
    <w:p>
      <w:pPr>
        <w:spacing w:after="80" w:before="60"/>
        <w:jc w:val="left"/>
      </w:pPr>
      <w:r>
        <w:rPr>
          <w:rFonts w:ascii="Arial" w:cs="Arial" w:eastAsia="Arial" w:hAnsi="Arial"/>
          <w:b w:val="false"/>
          <w:bCs w:val="false"/>
          <w:i w:val="false"/>
          <w:iCs w:val="false"/>
          <w:color w:val="010100"/>
          <w:sz w:val="22"/>
          <w:szCs w:val="22"/>
        </w:rPr>
        <w:t xml:space="preserve">Navigator C.O.R.E. stayed. For nine months, Network Navigator ran a live test of what actually happens when you put fractional support, technical assistance, business matching, capacity building, entrepreneur accountability, provider accountability, and ecosystem coordination in motion at the same time, with real businesses, real providers, and real friction.</w:t>
      </w:r>
    </w:p>
    <w:p>
      <w:pPr>
        <w:spacing w:after="80" w:before="60"/>
        <w:jc w:val="left"/>
      </w:pPr>
      <w:r>
        <w:rPr>
          <w:rFonts w:ascii="Arial" w:cs="Arial" w:eastAsia="Arial" w:hAnsi="Arial"/>
          <w:b w:val="false"/>
          <w:bCs w:val="false"/>
          <w:i w:val="false"/>
          <w:iCs w:val="false"/>
          <w:color w:val="010100"/>
          <w:sz w:val="22"/>
          <w:szCs w:val="22"/>
        </w:rPr>
        <w:t xml:space="preserve">Most of what is known about small business support comes from theory or anecdote. This report comes from the field. What we found is not what the sector assumes.</w:t>
      </w:r>
    </w:p>
    <w:p>
      <w:pPr>
        <w:spacing w:after="40" w:before="4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0"/>
          <w:bottom w:type="dxa" w:w="0"/>
        </w:tblCellMar>
      </w:tblPr>
      <w:tblGrid>
        <w:gridCol w:w="9360"/>
      </w:tblGrid>
      <w:tr>
        <w:tc>
          <w:tcPr>
            <w:tcW w:type="dxa" w:w="9360"/>
            <w:tcBorders>
              <w:top w:val="none" w:color="FFFFFF" w:sz="0"/>
              <w:left w:val="none" w:color="FFFFFF" w:sz="0"/>
              <w:bottom w:val="none" w:color="FFFFFF" w:sz="0"/>
              <w:right w:val="none" w:color="FFFFFF" w:sz="0"/>
            </w:tcBorders>
            <w:shd w:fill="E8F6FC" w:val="clear"/>
            <w:tcMar>
              <w:top w:type="dxa" w:w="100"/>
              <w:left w:type="dxa" w:w="140"/>
              <w:bottom w:type="dxa" w:w="100"/>
              <w:right w:type="dxa" w:w="140"/>
            </w:tcMar>
            <w:vAlign w:val="center"/>
          </w:tcPr>
          <w:p>
            <w:pPr>
              <w:spacing w:after="60" w:before="60"/>
              <w:jc w:val="center"/>
            </w:pPr>
            <w:r>
              <w:rPr>
                <w:rFonts w:ascii="Arial" w:cs="Arial" w:eastAsia="Arial" w:hAnsi="Arial"/>
                <w:b/>
                <w:bCs/>
                <w:color w:val="0197CA"/>
                <w:sz w:val="24"/>
                <w:szCs w:val="24"/>
              </w:rPr>
              <w:t xml:space="preserve">“</w:t>
            </w:r>
            <w:r>
              <w:rPr>
                <w:rFonts w:ascii="Arial" w:cs="Arial" w:eastAsia="Arial" w:hAnsi="Arial"/>
                <w:b/>
                <w:bCs/>
                <w:i/>
                <w:iCs/>
                <w:color w:val="010100"/>
                <w:sz w:val="22"/>
                <w:szCs w:val="22"/>
              </w:rPr>
              <w:t xml:space="preserve">The future of ecosystem building is not simply connecting people to rooms. It is helping them move once they get there.</w:t>
            </w:r>
            <w:r>
              <w:rPr>
                <w:rFonts w:ascii="Arial" w:cs="Arial" w:eastAsia="Arial" w:hAnsi="Arial"/>
                <w:b/>
                <w:bCs/>
                <w:color w:val="0197CA"/>
                <w:sz w:val="24"/>
                <w:szCs w:val="24"/>
              </w:rPr>
              <w:t xml:space="preserve">”</w:t>
            </w:r>
          </w:p>
          <w:p>
            <w:pPr>
              <w:spacing w:after="60" w:before="60"/>
              <w:jc w:val="center"/>
            </w:pPr>
            <w:r>
              <w:rPr>
                <w:rFonts w:ascii="Arial" w:cs="Arial" w:eastAsia="Arial" w:hAnsi="Arial"/>
                <w:b/>
                <w:bCs/>
                <w:i w:val="false"/>
                <w:iCs w:val="false"/>
                <w:color w:val="0197CA"/>
                <w:sz w:val="18"/>
                <w:szCs w:val="18"/>
              </w:rPr>
              <w:t xml:space="preserve">— Naila Jackson  ·  Founder, Network Navigator</w:t>
            </w:r>
          </w:p>
        </w:tc>
      </w:tr>
    </w:tbl>
    <w:p>
      <w:pPr>
        <w:spacing w:after="40" w:before="40"/>
      </w:pPr>
      <w:r>
        <w:t xml:space="preserve"/>
      </w:r>
    </w:p>
    <w:p>
      <w:pPr>
        <w:spacing w:after="80" w:before="80"/>
      </w:pPr>
      <w:r>
        <w:t xml:space="preserve"/>
      </w:r>
    </w:p>
    <w:p>
      <w:pPr>
        <w:spacing w:after="40" w:before="200"/>
        <w:jc w:val="left"/>
      </w:pPr>
      <w:r>
        <w:rPr>
          <w:rFonts w:ascii="Arial" w:cs="Arial" w:eastAsia="Arial" w:hAnsi="Arial"/>
          <w:b/>
          <w:bCs/>
          <w:i w:val="false"/>
          <w:iCs w:val="false"/>
          <w:color w:val="80C342"/>
          <w:sz w:val="18"/>
          <w:szCs w:val="18"/>
        </w:rPr>
        <w:t xml:space="preserve">WHAT THE RESEARCH ALREADY SAID</w:t>
      </w:r>
    </w:p>
    <w:p>
      <w:pPr>
        <w:spacing w:after="80" w:before="80"/>
        <w:jc w:val="left"/>
      </w:pPr>
      <w:r>
        <w:rPr>
          <w:rFonts w:ascii="Arial" w:cs="Arial" w:eastAsia="Arial" w:hAnsi="Arial"/>
          <w:b/>
          <w:bCs/>
          <w:i w:val="false"/>
          <w:iCs w:val="false"/>
          <w:color w:val="010100"/>
          <w:sz w:val="28"/>
          <w:szCs w:val="28"/>
        </w:rPr>
        <w:t xml:space="preserve">Birmingham Was Already on Record as a City That Needed This.</w:t>
      </w:r>
    </w:p>
    <w:p>
      <w:pPr>
        <w:spacing w:after="80" w:before="60"/>
        <w:jc w:val="left"/>
      </w:pPr>
      <w:r>
        <w:rPr>
          <w:rFonts w:ascii="Arial" w:cs="Arial" w:eastAsia="Arial" w:hAnsi="Arial"/>
          <w:b w:val="false"/>
          <w:bCs w:val="false"/>
          <w:i w:val="false"/>
          <w:iCs w:val="false"/>
          <w:color w:val="010100"/>
          <w:sz w:val="22"/>
          <w:szCs w:val="22"/>
        </w:rPr>
        <w:t xml:space="preserve">In 2021, the Brookings Metropolitan Policy Program published “Birmingham’s Tipping Point: Achieving Inclusive Prosperity in the Post-Pandemic Economy.” The findings were stark. Birmingham ranked in the bottom five among large U.S. cities for job growth in new businesses. The Birmingham region held the lowest rate of Black business ownership of any large metro area in the country.¹</w:t>
      </w:r>
    </w:p>
    <w:p>
      <w:pPr>
        <w:spacing w:after="80" w:before="60"/>
        <w:jc w:val="left"/>
      </w:pPr>
      <w:r>
        <w:rPr>
          <w:rFonts w:ascii="Arial" w:cs="Arial" w:eastAsia="Arial" w:hAnsi="Arial"/>
          <w:b w:val="false"/>
          <w:bCs w:val="false"/>
          <w:i w:val="false"/>
          <w:iCs w:val="false"/>
          <w:color w:val="010100"/>
          <w:sz w:val="22"/>
          <w:szCs w:val="22"/>
        </w:rPr>
        <w:t xml:space="preserve">The report’s prescription was direct: connect Black entrepreneurs with the coaching, capital, and resources they need to thrive.</w:t>
      </w:r>
    </w:p>
    <w:p>
      <w:pPr>
        <w:spacing w:after="80" w:before="60"/>
        <w:jc w:val="left"/>
      </w:pPr>
      <w:r>
        <w:rPr>
          <w:rFonts w:ascii="Arial" w:cs="Arial" w:eastAsia="Arial" w:hAnsi="Arial"/>
          <w:b w:val="false"/>
          <w:bCs w:val="false"/>
          <w:i w:val="false"/>
          <w:iCs w:val="false"/>
          <w:color w:val="010100"/>
          <w:sz w:val="22"/>
          <w:szCs w:val="22"/>
        </w:rPr>
        <w:t xml:space="preserve">The ecosystem responded. Programs expanded. Directories grew. Workshops filled. Events multiplied. The diagnosis was sound. What the response got wrong was the theory underneath it. More access is not the same as more capacity to use what access provides.</w:t>
      </w:r>
    </w:p>
    <w:p>
      <w:pPr>
        <w:spacing w:after="80" w:before="60"/>
        <w:jc w:val="left"/>
      </w:pPr>
      <w:r>
        <w:rPr>
          <w:rFonts w:ascii="Arial" w:cs="Arial" w:eastAsia="Arial" w:hAnsi="Arial"/>
          <w:b w:val="false"/>
          <w:bCs w:val="false"/>
          <w:i w:val="false"/>
          <w:iCs w:val="false"/>
          <w:color w:val="010100"/>
          <w:sz w:val="22"/>
          <w:szCs w:val="22"/>
        </w:rPr>
        <w:t xml:space="preserve">That is the gap Navigator C.O.R.E. was built to test.</w:t>
      </w:r>
    </w:p>
    <w:p>
      <w:pPr>
        <w:spacing w:after="40" w:before="40"/>
        <w:jc w:val="left"/>
      </w:pPr>
      <w:r>
        <w:rPr>
          <w:rFonts w:ascii="Arial" w:cs="Arial" w:eastAsia="Arial" w:hAnsi="Arial"/>
          <w:b w:val="false"/>
          <w:bCs w:val="false"/>
          <w:i/>
          <w:iCs/>
          <w:color w:val="777777"/>
          <w:sz w:val="18"/>
          <w:szCs w:val="18"/>
        </w:rPr>
        <w:t xml:space="preserve">¹ Parilla, Joseph, Ryan Donahue, and Sifan Liu. “Birmingham’s Tipping Point: Achieving Inclusive Prosperity in the Post-Pandemic Economy.” Brookings Metropolitan Policy Program, June 2021.</w:t>
      </w:r>
    </w:p>
    <w:p>
      <w:pPr>
        <w:spacing w:after="40" w:before="40"/>
      </w:pPr>
      <w:r>
        <w:t xml:space="preserve"/>
      </w:r>
    </w:p>
    <w:p>
      <w:pPr>
        <w:spacing w:after="40" w:before="200"/>
        <w:jc w:val="left"/>
      </w:pPr>
      <w:r>
        <w:rPr>
          <w:rFonts w:ascii="Arial" w:cs="Arial" w:eastAsia="Arial" w:hAnsi="Arial"/>
          <w:b/>
          <w:bCs/>
          <w:i w:val="false"/>
          <w:iCs w:val="false"/>
          <w:color w:val="80C342"/>
          <w:sz w:val="18"/>
          <w:szCs w:val="18"/>
        </w:rPr>
        <w:t xml:space="preserve">THE FINDING THAT CHANGES EVERYTHING</w:t>
      </w:r>
    </w:p>
    <w:p>
      <w:pPr>
        <w:spacing w:after="80" w:before="80"/>
        <w:jc w:val="left"/>
      </w:pPr>
      <w:r>
        <w:rPr>
          <w:rFonts w:ascii="Arial" w:cs="Arial" w:eastAsia="Arial" w:hAnsi="Arial"/>
          <w:b/>
          <w:bCs/>
          <w:i w:val="false"/>
          <w:iCs w:val="false"/>
          <w:color w:val="010100"/>
          <w:sz w:val="28"/>
          <w:szCs w:val="28"/>
        </w:rPr>
        <w:t xml:space="preserve">The Problem Isn’t Access. It’s Receivership.</w:t>
      </w:r>
    </w:p>
    <w:p>
      <w:pPr>
        <w:spacing w:after="80" w:before="60"/>
        <w:jc w:val="left"/>
      </w:pPr>
      <w:r>
        <w:rPr>
          <w:rFonts w:ascii="Arial" w:cs="Arial" w:eastAsia="Arial" w:hAnsi="Arial"/>
          <w:b w:val="false"/>
          <w:bCs w:val="false"/>
          <w:i w:val="false"/>
          <w:iCs w:val="false"/>
          <w:color w:val="010100"/>
          <w:sz w:val="22"/>
          <w:szCs w:val="22"/>
        </w:rPr>
        <w:t xml:space="preserve">We often talk about access. But access only matters if someone can receive what’s being offered.</w:t>
      </w:r>
    </w:p>
    <w:p>
      <w:pPr>
        <w:spacing w:after="80" w:before="60"/>
        <w:jc w:val="left"/>
      </w:pPr>
      <w:r>
        <w:rPr>
          <w:rFonts w:ascii="Arial" w:cs="Arial" w:eastAsia="Arial" w:hAnsi="Arial"/>
          <w:b w:val="false"/>
          <w:bCs w:val="false"/>
          <w:i w:val="false"/>
          <w:iCs w:val="false"/>
          <w:color w:val="010100"/>
          <w:sz w:val="22"/>
          <w:szCs w:val="22"/>
        </w:rPr>
        <w:t xml:space="preserve">Receivership is the ability to engage with support after it becomes available. Returning the call. Responding to the email. Showing up to the meeting. Completing the assignment. Following through on the referral.</w:t>
      </w:r>
    </w:p>
    <w:p>
      <w:pPr>
        <w:spacing w:after="80" w:before="60"/>
        <w:jc w:val="left"/>
      </w:pPr>
      <w:r>
        <w:rPr>
          <w:rFonts w:ascii="Arial" w:cs="Arial" w:eastAsia="Arial" w:hAnsi="Arial"/>
          <w:b w:val="false"/>
          <w:bCs w:val="false"/>
          <w:i w:val="false"/>
          <w:iCs w:val="false"/>
          <w:color w:val="010100"/>
          <w:sz w:val="22"/>
          <w:szCs w:val="22"/>
        </w:rPr>
        <w:t xml:space="preserve">It is the bridge between access and outcomes.</w:t>
      </w:r>
    </w:p>
    <w:p>
      <w:pPr>
        <w:spacing w:after="80" w:before="60"/>
        <w:jc w:val="left"/>
      </w:pPr>
      <w:r>
        <w:rPr>
          <w:rFonts w:ascii="Arial" w:cs="Arial" w:eastAsia="Arial" w:hAnsi="Arial"/>
          <w:b w:val="false"/>
          <w:bCs w:val="false"/>
          <w:i w:val="false"/>
          <w:iCs w:val="false"/>
          <w:color w:val="010100"/>
          <w:sz w:val="22"/>
          <w:szCs w:val="22"/>
        </w:rPr>
        <w:t xml:space="preserve">What C.O.R.E. revealed is that many entrepreneurs did not have an access problem. They had a receivership problem. Support was available. Technical assistance providers were assigned. Resources were identified. Introductions were made. Yet progress often stalled because life happened. Work demands increased. Family responsibilities took priority. Mental bandwidth disappeared. Financial stress took over.</w:t>
      </w:r>
    </w:p>
    <w:p>
      <w:pPr>
        <w:spacing w:after="80" w:before="60"/>
        <w:jc w:val="left"/>
      </w:pPr>
      <w:r>
        <w:rPr>
          <w:rFonts w:ascii="Arial" w:cs="Arial" w:eastAsia="Arial" w:hAnsi="Arial"/>
          <w:b w:val="false"/>
          <w:bCs w:val="false"/>
          <w:i w:val="false"/>
          <w:iCs w:val="false"/>
          <w:color w:val="010100"/>
          <w:sz w:val="22"/>
          <w:szCs w:val="22"/>
        </w:rPr>
        <w:t xml:space="preserve">The challenge wasn’t finding help. The challenge was being in a position to receive it.</w:t>
      </w:r>
    </w:p>
    <w:p>
      <w:pPr>
        <w:spacing w:after="80" w:before="60"/>
        <w:jc w:val="left"/>
      </w:pPr>
      <w:r>
        <w:rPr>
          <w:rFonts w:ascii="Arial" w:cs="Arial" w:eastAsia="Arial" w:hAnsi="Arial"/>
          <w:b w:val="false"/>
          <w:bCs w:val="false"/>
          <w:i w:val="false"/>
          <w:iCs w:val="false"/>
          <w:color w:val="010100"/>
          <w:sz w:val="22"/>
          <w:szCs w:val="22"/>
        </w:rPr>
        <w:t xml:space="preserve">That distinction matters because ecosystems are often designed around providing support, not around helping entrepreneurs absorb it. Access gets people to the door. Receivership determines whether they walk through it.</w:t>
      </w:r>
    </w:p>
    <w:p>
      <w:pPr>
        <w:spacing w:after="80" w:before="60"/>
        <w:jc w:val="left"/>
      </w:pPr>
      <w:r>
        <w:rPr>
          <w:rFonts w:ascii="Arial" w:cs="Arial" w:eastAsia="Arial" w:hAnsi="Arial"/>
          <w:b w:val="false"/>
          <w:bCs w:val="false"/>
          <w:i w:val="false"/>
          <w:iCs w:val="false"/>
          <w:color w:val="010100"/>
          <w:sz w:val="22"/>
          <w:szCs w:val="22"/>
        </w:rPr>
        <w:t xml:space="preserve">The dominant theory in small business support goes like this: entrepreneurs lack access to resources, so the solution is more resources. More workshops. More directories. More one-time consultations. More events.</w:t>
      </w:r>
    </w:p>
    <w:p>
      <w:pPr>
        <w:spacing w:after="80" w:before="60"/>
        <w:jc w:val="left"/>
      </w:pPr>
      <w:r>
        <w:rPr>
          <w:rFonts w:ascii="Arial" w:cs="Arial" w:eastAsia="Arial" w:hAnsi="Arial"/>
          <w:b w:val="false"/>
          <w:bCs w:val="false"/>
          <w:i w:val="false"/>
          <w:iCs w:val="false"/>
          <w:color w:val="010100"/>
          <w:sz w:val="22"/>
          <w:szCs w:val="22"/>
        </w:rPr>
        <w:t xml:space="preserve">What Navigator C.O.R.E. found is that access is not the primary barrier. The entrepreneurs in this cohort were motivated, capable, and ready to grow. They had vision and expertise. What they lacked was the operational capacity to receive and integrate sustained support, because they had spent years doing everything alone.</w:t>
      </w:r>
    </w:p>
    <w:p>
      <w:pPr>
        <w:spacing w:after="80" w:before="60"/>
        <w:jc w:val="left"/>
      </w:pPr>
      <w:r>
        <w:rPr>
          <w:rFonts w:ascii="Arial" w:cs="Arial" w:eastAsia="Arial" w:hAnsi="Arial"/>
          <w:b w:val="false"/>
          <w:bCs w:val="false"/>
          <w:i w:val="false"/>
          <w:iCs w:val="false"/>
          <w:color w:val="010100"/>
          <w:sz w:val="22"/>
          <w:szCs w:val="22"/>
        </w:rPr>
        <w:t xml:space="preserve">Owners were functioning simultaneously as their own admin, marketer, HR department, bookkeeper, customer service rep, and service provider. That kind of hyper-dependence on self is a survival mechanism. But it becomes a structural barrier the moment outside help arrives.</w:t>
      </w:r>
    </w:p>
    <w:p>
      <w:pPr>
        <w:spacing w:after="40" w:before="4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0"/>
          <w:bottom w:type="dxa" w:w="0"/>
        </w:tblCellMar>
      </w:tblPr>
      <w:tblGrid>
        <w:gridCol w:w="9360"/>
      </w:tblGrid>
      <w:tr>
        <w:tc>
          <w:tcPr>
            <w:tcW w:type="dxa" w:w="9360"/>
            <w:tcBorders>
              <w:top w:val="none" w:color="FFFFFF" w:sz="0"/>
              <w:left w:val="none" w:color="FFFFFF" w:sz="0"/>
              <w:bottom w:val="none" w:color="FFFFFF" w:sz="0"/>
              <w:right w:val="none" w:color="FFFFFF" w:sz="0"/>
            </w:tcBorders>
            <w:shd w:fill="E8F6FC" w:val="clear"/>
            <w:tcMar>
              <w:top w:type="dxa" w:w="100"/>
              <w:left w:type="dxa" w:w="140"/>
              <w:bottom w:type="dxa" w:w="100"/>
              <w:right w:type="dxa" w:w="140"/>
            </w:tcMar>
            <w:vAlign w:val="center"/>
          </w:tcPr>
          <w:p>
            <w:pPr>
              <w:spacing w:after="60" w:before="60"/>
              <w:jc w:val="center"/>
            </w:pPr>
            <w:r>
              <w:rPr>
                <w:rFonts w:ascii="Arial" w:cs="Arial" w:eastAsia="Arial" w:hAnsi="Arial"/>
                <w:b/>
                <w:bCs/>
                <w:color w:val="0197CA"/>
                <w:sz w:val="24"/>
                <w:szCs w:val="24"/>
              </w:rPr>
              <w:t xml:space="preserve">“</w:t>
            </w:r>
            <w:r>
              <w:rPr>
                <w:rFonts w:ascii="Arial" w:cs="Arial" w:eastAsia="Arial" w:hAnsi="Arial"/>
                <w:b/>
                <w:bCs/>
                <w:i/>
                <w:iCs/>
                <w:color w:val="010100"/>
                <w:sz w:val="22"/>
                <w:szCs w:val="22"/>
              </w:rPr>
              <w:t xml:space="preserve">Delegation is a skill, not a switch.</w:t>
            </w:r>
            <w:r>
              <w:rPr>
                <w:rFonts w:ascii="Arial" w:cs="Arial" w:eastAsia="Arial" w:hAnsi="Arial"/>
                <w:b/>
                <w:bCs/>
                <w:color w:val="0197CA"/>
                <w:sz w:val="24"/>
                <w:szCs w:val="24"/>
              </w:rPr>
              <w:t xml:space="preserve">”</w:t>
            </w:r>
          </w:p>
          <w:p>
            <w:pPr>
              <w:spacing w:after="60" w:before="60"/>
              <w:jc w:val="center"/>
            </w:pPr>
            <w:r>
              <w:rPr>
                <w:rFonts w:ascii="Arial" w:cs="Arial" w:eastAsia="Arial" w:hAnsi="Arial"/>
                <w:b/>
                <w:bCs/>
                <w:i w:val="false"/>
                <w:iCs w:val="false"/>
                <w:color w:val="0197CA"/>
                <w:sz w:val="18"/>
                <w:szCs w:val="18"/>
              </w:rPr>
              <w:t xml:space="preserve">— Cohort Coach  ·  Navigator C.O.R.E.</w:t>
            </w:r>
          </w:p>
        </w:tc>
      </w:tr>
    </w:tbl>
    <w:p>
      <w:pPr>
        <w:spacing w:after="40" w:before="40"/>
      </w:pPr>
      <w:r>
        <w:t xml:space="preserve"/>
      </w:r>
    </w:p>
    <w:p>
      <w:pPr>
        <w:spacing w:after="80" w:before="60"/>
        <w:jc w:val="left"/>
      </w:pPr>
      <w:r>
        <w:rPr>
          <w:rFonts w:ascii="Arial" w:cs="Arial" w:eastAsia="Arial" w:hAnsi="Arial"/>
          <w:b w:val="false"/>
          <w:bCs w:val="false"/>
          <w:i w:val="false"/>
          <w:iCs w:val="false"/>
          <w:color w:val="010100"/>
          <w:sz w:val="22"/>
          <w:szCs w:val="22"/>
        </w:rPr>
        <w:t xml:space="preserve">In the first two months of C.O.R.E., providers were not building deliverables. They were building access. Sending check-ins. Waiting on platform credentials. Offering to pivot. Rebuilding contact after stretches of silence. This was not disengagement on the part of business owners. It was the delegation learning curve: the time it takes for someone who has never had help to learn how to use it.</w:t>
      </w:r>
    </w:p>
    <w:p>
      <w:pPr>
        <w:spacing w:after="80" w:before="60"/>
        <w:jc w:val="left"/>
      </w:pPr>
      <w:r>
        <w:rPr>
          <w:rFonts w:ascii="Arial" w:cs="Arial" w:eastAsia="Arial" w:hAnsi="Arial"/>
          <w:b w:val="false"/>
          <w:bCs w:val="false"/>
          <w:i w:val="false"/>
          <w:iCs w:val="false"/>
          <w:color w:val="010100"/>
          <w:sz w:val="22"/>
          <w:szCs w:val="22"/>
        </w:rPr>
        <w:t xml:space="preserve">By month five, the shift had happened. Owners who had once responded inconsistently were arriving to sessions with decisions made, assets ready, and questions prepared. They had moved from doing everything to directing support strategically. That shift is the program’s most underreported outcome. And it took time that most programs are not designed to give.</w:t>
      </w:r>
    </w:p>
    <w:p>
      <w:pPr>
        <w:spacing w:after="80" w:before="80"/>
      </w:pPr>
      <w:r>
        <w:t xml:space="preserve"/>
      </w:r>
    </w:p>
    <w:p>
      <w:pPr>
        <w:spacing w:after="40" w:before="200"/>
        <w:jc w:val="left"/>
      </w:pPr>
      <w:r>
        <w:rPr>
          <w:rFonts w:ascii="Arial" w:cs="Arial" w:eastAsia="Arial" w:hAnsi="Arial"/>
          <w:b/>
          <w:bCs/>
          <w:i w:val="false"/>
          <w:iCs w:val="false"/>
          <w:color w:val="80C342"/>
          <w:sz w:val="18"/>
          <w:szCs w:val="18"/>
        </w:rPr>
        <w:t xml:space="preserve">WHAT THE PILOT ACTUALLY TESTED</w:t>
      </w:r>
    </w:p>
    <w:p>
      <w:pPr>
        <w:spacing w:after="80" w:before="80"/>
        <w:jc w:val="left"/>
      </w:pPr>
      <w:r>
        <w:rPr>
          <w:rFonts w:ascii="Arial" w:cs="Arial" w:eastAsia="Arial" w:hAnsi="Arial"/>
          <w:b/>
          <w:bCs/>
          <w:i w:val="false"/>
          <w:iCs w:val="false"/>
          <w:color w:val="010100"/>
          <w:sz w:val="28"/>
          <w:szCs w:val="28"/>
        </w:rPr>
        <w:t xml:space="preserve">Seven Systems. One Ecosystem. Nine Months of Real Data.</w:t>
      </w:r>
    </w:p>
    <w:p>
      <w:pPr>
        <w:spacing w:after="80" w:before="60"/>
        <w:jc w:val="left"/>
      </w:pPr>
      <w:r>
        <w:rPr>
          <w:rFonts w:ascii="Arial" w:cs="Arial" w:eastAsia="Arial" w:hAnsi="Arial"/>
          <w:b w:val="false"/>
          <w:bCs w:val="false"/>
          <w:i w:val="false"/>
          <w:iCs w:val="false"/>
          <w:color w:val="010100"/>
          <w:sz w:val="22"/>
          <w:szCs w:val="22"/>
        </w:rPr>
        <w:t xml:space="preserve">Navigator C.O.R.E. was not designed as a simple TA program. It was designed as an ecosystem coordination experiment. Over nine months, the pilot stress-tested seven interdependent systems simultaneously:</w:t>
      </w:r>
    </w:p>
    <w:p>
      <w:pPr>
        <w:spacing w:after="40" w:before="4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76"/>
        <w:gridCol w:w="6084"/>
      </w:tblGrid>
      <w:tr>
        <w:tc>
          <w:tcPr>
            <w:tcW w:type="dxa" w:w="3276"/>
            <w:tcBorders>
              <w:top w:val="single" w:color="CCCCCC" w:sz="1"/>
              <w:left w:val="single" w:color="CCCCCC" w:sz="1"/>
              <w:bottom w:val="single" w:color="CCCCCC" w:sz="1"/>
              <w:right w:val="single" w:color="CCCCCC" w:sz="1"/>
            </w:tcBorders>
            <w:shd w:fill="E8F6FC" w:val="clear"/>
            <w:tcMar>
              <w:top w:type="dxa" w:w="100"/>
              <w:left w:type="dxa" w:w="140"/>
              <w:bottom w:type="dxa" w:w="100"/>
              <w:right w:type="dxa" w:w="140"/>
            </w:tcMar>
            <w:vAlign w:val="center"/>
          </w:tcPr>
          <w:p>
            <w:pPr>
              <w:spacing w:after="60" w:before="60"/>
              <w:jc w:val="left"/>
            </w:pPr>
            <w:r>
              <w:rPr>
                <w:rFonts w:ascii="Arial" w:cs="Arial" w:eastAsia="Arial" w:hAnsi="Arial"/>
                <w:b/>
                <w:bCs/>
                <w:i w:val="false"/>
                <w:iCs w:val="false"/>
                <w:color w:val="0197CA"/>
                <w:sz w:val="20"/>
                <w:szCs w:val="20"/>
              </w:rPr>
              <w:t xml:space="preserve">Fractional Support</w:t>
            </w:r>
          </w:p>
        </w:tc>
        <w:tc>
          <w:tcPr>
            <w:tcW w:type="dxa" w:w="6084"/>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spacing w:after="60" w:before="60"/>
              <w:jc w:val="left"/>
            </w:pPr>
            <w:r>
              <w:rPr>
                <w:rFonts w:ascii="Arial" w:cs="Arial" w:eastAsia="Arial" w:hAnsi="Arial"/>
                <w:b w:val="false"/>
                <w:bCs w:val="false"/>
                <w:i w:val="false"/>
                <w:iCs w:val="false"/>
                <w:color w:val="010100"/>
                <w:sz w:val="20"/>
                <w:szCs w:val="20"/>
              </w:rPr>
              <w:t xml:space="preserve">Could part-time, project-based TA deliver sustained impact?</w:t>
            </w:r>
          </w:p>
        </w:tc>
      </w:tr>
      <w:tr>
        <w:tc>
          <w:tcPr>
            <w:tcW w:type="dxa" w:w="3276"/>
            <w:tcBorders>
              <w:top w:val="single" w:color="CCCCCC" w:sz="1"/>
              <w:left w:val="single" w:color="CCCCCC" w:sz="1"/>
              <w:bottom w:val="single" w:color="CCCCCC" w:sz="1"/>
              <w:right w:val="single" w:color="CCCCCC" w:sz="1"/>
            </w:tcBorders>
            <w:shd w:fill="E8F6FC" w:val="clear"/>
            <w:tcMar>
              <w:top w:type="dxa" w:w="100"/>
              <w:left w:type="dxa" w:w="140"/>
              <w:bottom w:type="dxa" w:w="100"/>
              <w:right w:type="dxa" w:w="140"/>
            </w:tcMar>
            <w:vAlign w:val="center"/>
          </w:tcPr>
          <w:p>
            <w:pPr>
              <w:spacing w:after="60" w:before="60"/>
              <w:jc w:val="left"/>
            </w:pPr>
            <w:r>
              <w:rPr>
                <w:rFonts w:ascii="Arial" w:cs="Arial" w:eastAsia="Arial" w:hAnsi="Arial"/>
                <w:b/>
                <w:bCs/>
                <w:i w:val="false"/>
                <w:iCs w:val="false"/>
                <w:color w:val="0197CA"/>
                <w:sz w:val="20"/>
                <w:szCs w:val="20"/>
              </w:rPr>
              <w:t xml:space="preserve">Technical Assistance</w:t>
            </w:r>
          </w:p>
        </w:tc>
        <w:tc>
          <w:tcPr>
            <w:tcW w:type="dxa" w:w="6084"/>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spacing w:after="60" w:before="60"/>
              <w:jc w:val="left"/>
            </w:pPr>
            <w:r>
              <w:rPr>
                <w:rFonts w:ascii="Arial" w:cs="Arial" w:eastAsia="Arial" w:hAnsi="Arial"/>
                <w:b w:val="false"/>
                <w:bCs w:val="false"/>
                <w:i w:val="false"/>
                <w:iCs w:val="false"/>
                <w:color w:val="010100"/>
                <w:sz w:val="20"/>
                <w:szCs w:val="20"/>
              </w:rPr>
              <w:t xml:space="preserve">What kinds of TA move the needle, and what gets stuck?</w:t>
            </w:r>
          </w:p>
        </w:tc>
      </w:tr>
      <w:tr>
        <w:tc>
          <w:tcPr>
            <w:tcW w:type="dxa" w:w="3276"/>
            <w:tcBorders>
              <w:top w:val="single" w:color="CCCCCC" w:sz="1"/>
              <w:left w:val="single" w:color="CCCCCC" w:sz="1"/>
              <w:bottom w:val="single" w:color="CCCCCC" w:sz="1"/>
              <w:right w:val="single" w:color="CCCCCC" w:sz="1"/>
            </w:tcBorders>
            <w:shd w:fill="E8F6FC" w:val="clear"/>
            <w:tcMar>
              <w:top w:type="dxa" w:w="100"/>
              <w:left w:type="dxa" w:w="140"/>
              <w:bottom w:type="dxa" w:w="100"/>
              <w:right w:type="dxa" w:w="140"/>
            </w:tcMar>
            <w:vAlign w:val="center"/>
          </w:tcPr>
          <w:p>
            <w:pPr>
              <w:spacing w:after="60" w:before="60"/>
              <w:jc w:val="left"/>
            </w:pPr>
            <w:r>
              <w:rPr>
                <w:rFonts w:ascii="Arial" w:cs="Arial" w:eastAsia="Arial" w:hAnsi="Arial"/>
                <w:b/>
                <w:bCs/>
                <w:i w:val="false"/>
                <w:iCs w:val="false"/>
                <w:color w:val="0197CA"/>
                <w:sz w:val="20"/>
                <w:szCs w:val="20"/>
              </w:rPr>
              <w:t xml:space="preserve">Business Matching</w:t>
            </w:r>
          </w:p>
        </w:tc>
        <w:tc>
          <w:tcPr>
            <w:tcW w:type="dxa" w:w="6084"/>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spacing w:after="60" w:before="60"/>
              <w:jc w:val="left"/>
            </w:pPr>
            <w:r>
              <w:rPr>
                <w:rFonts w:ascii="Arial" w:cs="Arial" w:eastAsia="Arial" w:hAnsi="Arial"/>
                <w:b w:val="false"/>
                <w:bCs w:val="false"/>
                <w:i w:val="false"/>
                <w:iCs w:val="false"/>
                <w:color w:val="010100"/>
                <w:sz w:val="20"/>
                <w:szCs w:val="20"/>
              </w:rPr>
              <w:t xml:space="preserve">Does provider-owner compatibility shape outcomes more than credentials?</w:t>
            </w:r>
          </w:p>
        </w:tc>
      </w:tr>
      <w:tr>
        <w:tc>
          <w:tcPr>
            <w:tcW w:type="dxa" w:w="3276"/>
            <w:tcBorders>
              <w:top w:val="single" w:color="CCCCCC" w:sz="1"/>
              <w:left w:val="single" w:color="CCCCCC" w:sz="1"/>
              <w:bottom w:val="single" w:color="CCCCCC" w:sz="1"/>
              <w:right w:val="single" w:color="CCCCCC" w:sz="1"/>
            </w:tcBorders>
            <w:shd w:fill="E8F6FC" w:val="clear"/>
            <w:tcMar>
              <w:top w:type="dxa" w:w="100"/>
              <w:left w:type="dxa" w:w="140"/>
              <w:bottom w:type="dxa" w:w="100"/>
              <w:right w:type="dxa" w:w="140"/>
            </w:tcMar>
            <w:vAlign w:val="center"/>
          </w:tcPr>
          <w:p>
            <w:pPr>
              <w:spacing w:after="60" w:before="60"/>
              <w:jc w:val="left"/>
            </w:pPr>
            <w:r>
              <w:rPr>
                <w:rFonts w:ascii="Arial" w:cs="Arial" w:eastAsia="Arial" w:hAnsi="Arial"/>
                <w:b/>
                <w:bCs/>
                <w:i w:val="false"/>
                <w:iCs w:val="false"/>
                <w:color w:val="0197CA"/>
                <w:sz w:val="20"/>
                <w:szCs w:val="20"/>
              </w:rPr>
              <w:t xml:space="preserve">Capacity Building</w:t>
            </w:r>
          </w:p>
        </w:tc>
        <w:tc>
          <w:tcPr>
            <w:tcW w:type="dxa" w:w="6084"/>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spacing w:after="60" w:before="60"/>
              <w:jc w:val="left"/>
            </w:pPr>
            <w:r>
              <w:rPr>
                <w:rFonts w:ascii="Arial" w:cs="Arial" w:eastAsia="Arial" w:hAnsi="Arial"/>
                <w:b w:val="false"/>
                <w:bCs w:val="false"/>
                <w:i w:val="false"/>
                <w:iCs w:val="false"/>
                <w:color w:val="010100"/>
                <w:sz w:val="20"/>
                <w:szCs w:val="20"/>
              </w:rPr>
              <w:t xml:space="preserve">Can you build the capacity to receive support while delivering it?</w:t>
            </w:r>
          </w:p>
        </w:tc>
      </w:tr>
      <w:tr>
        <w:tc>
          <w:tcPr>
            <w:tcW w:type="dxa" w:w="3276"/>
            <w:tcBorders>
              <w:top w:val="single" w:color="CCCCCC" w:sz="1"/>
              <w:left w:val="single" w:color="CCCCCC" w:sz="1"/>
              <w:bottom w:val="single" w:color="CCCCCC" w:sz="1"/>
              <w:right w:val="single" w:color="CCCCCC" w:sz="1"/>
            </w:tcBorders>
            <w:shd w:fill="E8F6FC" w:val="clear"/>
            <w:tcMar>
              <w:top w:type="dxa" w:w="100"/>
              <w:left w:type="dxa" w:w="140"/>
              <w:bottom w:type="dxa" w:w="100"/>
              <w:right w:type="dxa" w:w="140"/>
            </w:tcMar>
            <w:vAlign w:val="center"/>
          </w:tcPr>
          <w:p>
            <w:pPr>
              <w:spacing w:after="60" w:before="60"/>
              <w:jc w:val="left"/>
            </w:pPr>
            <w:r>
              <w:rPr>
                <w:rFonts w:ascii="Arial" w:cs="Arial" w:eastAsia="Arial" w:hAnsi="Arial"/>
                <w:b/>
                <w:bCs/>
                <w:i w:val="false"/>
                <w:iCs w:val="false"/>
                <w:color w:val="0197CA"/>
                <w:sz w:val="20"/>
                <w:szCs w:val="20"/>
              </w:rPr>
              <w:t xml:space="preserve">Entrepreneur Accountability</w:t>
            </w:r>
          </w:p>
        </w:tc>
        <w:tc>
          <w:tcPr>
            <w:tcW w:type="dxa" w:w="6084"/>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spacing w:after="60" w:before="60"/>
              <w:jc w:val="left"/>
            </w:pPr>
            <w:r>
              <w:rPr>
                <w:rFonts w:ascii="Arial" w:cs="Arial" w:eastAsia="Arial" w:hAnsi="Arial"/>
                <w:b w:val="false"/>
                <w:bCs w:val="false"/>
                <w:i w:val="false"/>
                <w:iCs w:val="false"/>
                <w:color w:val="010100"/>
                <w:sz w:val="20"/>
                <w:szCs w:val="20"/>
              </w:rPr>
              <w:t xml:space="preserve">What does accountability look like without shame or surveillance?</w:t>
            </w:r>
          </w:p>
        </w:tc>
      </w:tr>
      <w:tr>
        <w:tc>
          <w:tcPr>
            <w:tcW w:type="dxa" w:w="3276"/>
            <w:tcBorders>
              <w:top w:val="single" w:color="CCCCCC" w:sz="1"/>
              <w:left w:val="single" w:color="CCCCCC" w:sz="1"/>
              <w:bottom w:val="single" w:color="CCCCCC" w:sz="1"/>
              <w:right w:val="single" w:color="CCCCCC" w:sz="1"/>
            </w:tcBorders>
            <w:shd w:fill="E8F6FC" w:val="clear"/>
            <w:tcMar>
              <w:top w:type="dxa" w:w="100"/>
              <w:left w:type="dxa" w:w="140"/>
              <w:bottom w:type="dxa" w:w="100"/>
              <w:right w:type="dxa" w:w="140"/>
            </w:tcMar>
            <w:vAlign w:val="center"/>
          </w:tcPr>
          <w:p>
            <w:pPr>
              <w:spacing w:after="60" w:before="60"/>
              <w:jc w:val="left"/>
            </w:pPr>
            <w:r>
              <w:rPr>
                <w:rFonts w:ascii="Arial" w:cs="Arial" w:eastAsia="Arial" w:hAnsi="Arial"/>
                <w:b/>
                <w:bCs/>
                <w:i w:val="false"/>
                <w:iCs w:val="false"/>
                <w:color w:val="0197CA"/>
                <w:sz w:val="20"/>
                <w:szCs w:val="20"/>
              </w:rPr>
              <w:t xml:space="preserve">Provider Accountability</w:t>
            </w:r>
          </w:p>
        </w:tc>
        <w:tc>
          <w:tcPr>
            <w:tcW w:type="dxa" w:w="6084"/>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spacing w:after="60" w:before="60"/>
              <w:jc w:val="left"/>
            </w:pPr>
            <w:r>
              <w:rPr>
                <w:rFonts w:ascii="Arial" w:cs="Arial" w:eastAsia="Arial" w:hAnsi="Arial"/>
                <w:b w:val="false"/>
                <w:bCs w:val="false"/>
                <w:i w:val="false"/>
                <w:iCs w:val="false"/>
                <w:color w:val="010100"/>
                <w:sz w:val="20"/>
                <w:szCs w:val="20"/>
              </w:rPr>
              <w:t xml:space="preserve">How do you support the people doing the supporting?</w:t>
            </w:r>
          </w:p>
        </w:tc>
      </w:tr>
      <w:tr>
        <w:tc>
          <w:tcPr>
            <w:tcW w:type="dxa" w:w="3276"/>
            <w:tcBorders>
              <w:top w:val="single" w:color="CCCCCC" w:sz="1"/>
              <w:left w:val="single" w:color="CCCCCC" w:sz="1"/>
              <w:bottom w:val="single" w:color="CCCCCC" w:sz="1"/>
              <w:right w:val="single" w:color="CCCCCC" w:sz="1"/>
            </w:tcBorders>
            <w:shd w:fill="E8F6FC" w:val="clear"/>
            <w:tcMar>
              <w:top w:type="dxa" w:w="100"/>
              <w:left w:type="dxa" w:w="140"/>
              <w:bottom w:type="dxa" w:w="100"/>
              <w:right w:type="dxa" w:w="140"/>
            </w:tcMar>
            <w:vAlign w:val="center"/>
          </w:tcPr>
          <w:p>
            <w:pPr>
              <w:spacing w:after="60" w:before="60"/>
              <w:jc w:val="left"/>
            </w:pPr>
            <w:r>
              <w:rPr>
                <w:rFonts w:ascii="Arial" w:cs="Arial" w:eastAsia="Arial" w:hAnsi="Arial"/>
                <w:b/>
                <w:bCs/>
                <w:i w:val="false"/>
                <w:iCs w:val="false"/>
                <w:color w:val="0197CA"/>
                <w:sz w:val="20"/>
                <w:szCs w:val="20"/>
              </w:rPr>
              <w:t xml:space="preserve">Ecosystem Coordination</w:t>
            </w:r>
          </w:p>
        </w:tc>
        <w:tc>
          <w:tcPr>
            <w:tcW w:type="dxa" w:w="6084"/>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spacing w:after="60" w:before="60"/>
              <w:jc w:val="left"/>
            </w:pPr>
            <w:r>
              <w:rPr>
                <w:rFonts w:ascii="Arial" w:cs="Arial" w:eastAsia="Arial" w:hAnsi="Arial"/>
                <w:b w:val="false"/>
                <w:bCs w:val="false"/>
                <w:i w:val="false"/>
                <w:iCs w:val="false"/>
                <w:color w:val="010100"/>
                <w:sz w:val="20"/>
                <w:szCs w:val="20"/>
              </w:rPr>
              <w:t xml:space="preserve">Can a small team manage an interdependent network of relationships?</w:t>
            </w:r>
          </w:p>
        </w:tc>
      </w:tr>
    </w:tbl>
    <w:p>
      <w:pPr>
        <w:spacing w:after="80" w:before="80"/>
      </w:pPr>
      <w:r>
        <w:t xml:space="preserve"/>
      </w:r>
    </w:p>
    <w:p>
      <w:pPr>
        <w:spacing w:after="40" w:before="200"/>
        <w:jc w:val="left"/>
      </w:pPr>
      <w:r>
        <w:rPr>
          <w:rFonts w:ascii="Arial" w:cs="Arial" w:eastAsia="Arial" w:hAnsi="Arial"/>
          <w:b/>
          <w:bCs/>
          <w:i w:val="false"/>
          <w:iCs w:val="false"/>
          <w:color w:val="80C342"/>
          <w:sz w:val="18"/>
          <w:szCs w:val="18"/>
        </w:rPr>
        <w:t xml:space="preserve">PILLAR 1  ·  CAPACITY</w:t>
      </w:r>
    </w:p>
    <w:p>
      <w:pPr>
        <w:spacing w:after="80" w:before="80"/>
        <w:jc w:val="left"/>
      </w:pPr>
      <w:r>
        <w:rPr>
          <w:rFonts w:ascii="Arial" w:cs="Arial" w:eastAsia="Arial" w:hAnsi="Arial"/>
          <w:b/>
          <w:bCs/>
          <w:i w:val="false"/>
          <w:iCs w:val="false"/>
          <w:color w:val="010100"/>
          <w:sz w:val="28"/>
          <w:szCs w:val="28"/>
        </w:rPr>
        <w:t xml:space="preserve">The Biggest Challenge Isn’t Ambition. It’s Bandwidth.</w:t>
      </w:r>
    </w:p>
    <w:p>
      <w:pPr>
        <w:spacing w:after="80" w:before="60"/>
        <w:jc w:val="left"/>
      </w:pPr>
      <w:r>
        <w:rPr>
          <w:rFonts w:ascii="Arial" w:cs="Arial" w:eastAsia="Arial" w:hAnsi="Arial"/>
          <w:b w:val="false"/>
          <w:bCs w:val="false"/>
          <w:i w:val="false"/>
          <w:iCs w:val="false"/>
          <w:color w:val="010100"/>
          <w:sz w:val="22"/>
          <w:szCs w:val="22"/>
        </w:rPr>
        <w:t xml:space="preserve">Every entrepreneur in this cohort entered with vision, expertise, and commitment. 100% had agreed to 20-hour-per-week engagement capacity. 100% committed to milestone check-ins. 88% were BIPOC-owned or primarily serving underrepresented communities. Entry readiness was strong.</w:t>
      </w:r>
    </w:p>
    <w:p>
      <w:pPr>
        <w:spacing w:after="80" w:before="60"/>
        <w:jc w:val="left"/>
      </w:pPr>
      <w:r>
        <w:rPr>
          <w:rFonts w:ascii="Arial" w:cs="Arial" w:eastAsia="Arial" w:hAnsi="Arial"/>
          <w:b w:val="false"/>
          <w:bCs w:val="false"/>
          <w:i w:val="false"/>
          <w:iCs w:val="false"/>
          <w:color w:val="010100"/>
          <w:sz w:val="22"/>
          <w:szCs w:val="22"/>
        </w:rPr>
        <w:t xml:space="preserve">What the program surfaced was not a motivation gap. It was a bandwidth crisis hidden beneath the surface of every intake form. These owners were not failing to grow because they lacked drive. They were failing to grow because they were already running at 100% capacity, doing jobs that should have been distributed across a team, with no slack left for strategic work.</w:t>
      </w:r>
    </w:p>
    <w:p>
      <w:pPr>
        <w:spacing w:after="40" w:before="40"/>
      </w:pPr>
      <w:r>
        <w:t xml:space="preserve"/>
      </w:r>
    </w:p>
    <w:p>
      <w:pPr>
        <w:spacing w:after="40" w:before="60"/>
        <w:jc w:val="left"/>
      </w:pPr>
      <w:r>
        <w:rPr>
          <w:rFonts w:ascii="Arial" w:cs="Arial" w:eastAsia="Arial" w:hAnsi="Arial"/>
          <w:b/>
          <w:bCs/>
          <w:i w:val="false"/>
          <w:iCs w:val="false"/>
          <w:color w:val="010100"/>
          <w:sz w:val="24"/>
          <w:szCs w:val="24"/>
        </w:rPr>
        <w:t xml:space="preserve">Most Requested Support Areas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CCCCC" w:sz="1"/>
              <w:left w:val="single" w:color="CCCCCC" w:sz="1"/>
              <w:bottom w:val="single" w:color="CCCCCC" w:sz="1"/>
              <w:right w:val="single" w:color="CCCCCC" w:sz="1"/>
            </w:tcBorders>
            <w:shd w:fill="EDF7E3" w:val="clear"/>
            <w:tcMar>
              <w:top w:type="dxa" w:w="100"/>
              <w:left w:type="dxa" w:w="140"/>
              <w:bottom w:type="dxa" w:w="100"/>
              <w:right w:type="dxa" w:w="140"/>
            </w:tcMar>
            <w:vAlign w:val="center"/>
          </w:tcPr>
          <w:p>
            <w:pPr>
              <w:spacing w:after="60" w:before="60"/>
              <w:jc w:val="left"/>
            </w:pPr>
            <w:r>
              <w:rPr>
                <w:rFonts w:ascii="Arial" w:cs="Arial" w:eastAsia="Arial" w:hAnsi="Arial"/>
                <w:b w:val="false"/>
                <w:bCs w:val="false"/>
                <w:i w:val="false"/>
                <w:iCs w:val="false"/>
                <w:color w:val="010100"/>
                <w:sz w:val="20"/>
                <w:szCs w:val="20"/>
              </w:rPr>
              <w:t xml:space="preserve">Virtual assistance &amp; admin</w:t>
            </w:r>
          </w:p>
          <w:p>
            <w:pPr>
              <w:spacing w:after="60" w:before="60"/>
              <w:jc w:val="left"/>
            </w:pPr>
            <w:r>
              <w:rPr>
                <w:rFonts w:ascii="Arial" w:cs="Arial" w:eastAsia="Arial" w:hAnsi="Arial"/>
                <w:b w:val="false"/>
                <w:bCs w:val="false"/>
                <w:i w:val="false"/>
                <w:iCs w:val="false"/>
                <w:color w:val="010100"/>
                <w:sz w:val="20"/>
                <w:szCs w:val="20"/>
              </w:rPr>
              <w:t xml:space="preserve">HR &amp; org systems</w:t>
            </w:r>
          </w:p>
          <w:p>
            <w:pPr>
              <w:spacing w:after="60" w:before="60"/>
              <w:jc w:val="left"/>
            </w:pPr>
            <w:r>
              <w:rPr>
                <w:rFonts w:ascii="Arial" w:cs="Arial" w:eastAsia="Arial" w:hAnsi="Arial"/>
                <w:b w:val="false"/>
                <w:bCs w:val="false"/>
                <w:i w:val="false"/>
                <w:iCs w:val="false"/>
                <w:color w:val="010100"/>
                <w:sz w:val="20"/>
                <w:szCs w:val="20"/>
              </w:rPr>
              <w:t xml:space="preserve">Workflow &amp; operational support</w:t>
            </w:r>
          </w:p>
        </w:tc>
        <w:tc>
          <w:tcPr>
            <w:tcW w:type="dxa" w:w="4680"/>
            <w:tcBorders>
              <w:top w:val="single" w:color="CCCCCC" w:sz="1"/>
              <w:left w:val="single" w:color="CCCCCC" w:sz="1"/>
              <w:bottom w:val="single" w:color="CCCCCC" w:sz="1"/>
              <w:right w:val="single" w:color="CCCCCC" w:sz="1"/>
            </w:tcBorders>
            <w:shd w:fill="EDF7E3" w:val="clear"/>
            <w:tcMar>
              <w:top w:type="dxa" w:w="100"/>
              <w:left w:type="dxa" w:w="140"/>
              <w:bottom w:type="dxa" w:w="100"/>
              <w:right w:type="dxa" w:w="140"/>
            </w:tcMar>
            <w:vAlign w:val="center"/>
          </w:tcPr>
          <w:p>
            <w:pPr>
              <w:spacing w:after="60" w:before="60"/>
              <w:jc w:val="left"/>
            </w:pPr>
            <w:r>
              <w:rPr>
                <w:rFonts w:ascii="Arial" w:cs="Arial" w:eastAsia="Arial" w:hAnsi="Arial"/>
                <w:b w:val="false"/>
                <w:bCs w:val="false"/>
                <w:i w:val="false"/>
                <w:iCs w:val="false"/>
                <w:color w:val="010100"/>
                <w:sz w:val="20"/>
                <w:szCs w:val="20"/>
              </w:rPr>
              <w:t xml:space="preserve">Branding &amp; marketing</w:t>
            </w:r>
          </w:p>
          <w:p>
            <w:pPr>
              <w:spacing w:after="60" w:before="60"/>
              <w:jc w:val="left"/>
            </w:pPr>
            <w:r>
              <w:rPr>
                <w:rFonts w:ascii="Arial" w:cs="Arial" w:eastAsia="Arial" w:hAnsi="Arial"/>
                <w:b w:val="false"/>
                <w:bCs w:val="false"/>
                <w:i w:val="false"/>
                <w:iCs w:val="false"/>
                <w:color w:val="010100"/>
                <w:sz w:val="20"/>
                <w:szCs w:val="20"/>
              </w:rPr>
              <w:t xml:space="preserve">Bookkeeping &amp; financial</w:t>
            </w:r>
          </w:p>
          <w:p>
            <w:pPr>
              <w:spacing w:after="60" w:before="60"/>
              <w:jc w:val="left"/>
            </w:pPr>
            <w:r>
              <w:rPr>
                <w:rFonts w:ascii="Arial" w:cs="Arial" w:eastAsia="Arial" w:hAnsi="Arial"/>
                <w:b w:val="false"/>
                <w:bCs w:val="false"/>
                <w:i w:val="false"/>
                <w:iCs w:val="false"/>
                <w:color w:val="010100"/>
                <w:sz w:val="20"/>
                <w:szCs w:val="20"/>
              </w:rPr>
              <w:t xml:space="preserve">Delegation coaching</w:t>
            </w:r>
          </w:p>
        </w:tc>
      </w:tr>
    </w:tbl>
    <w:p>
      <w:pPr>
        <w:spacing w:after="40" w:before="40"/>
      </w:pPr>
      <w:r>
        <w:t xml:space="preserve"/>
      </w:r>
    </w:p>
    <w:p>
      <w:pPr>
        <w:spacing w:after="80" w:before="60"/>
        <w:jc w:val="left"/>
      </w:pPr>
      <w:r>
        <w:rPr>
          <w:rFonts w:ascii="Arial" w:cs="Arial" w:eastAsia="Arial" w:hAnsi="Arial"/>
          <w:b w:val="false"/>
          <w:bCs w:val="false"/>
          <w:i w:val="false"/>
          <w:iCs w:val="false"/>
          <w:color w:val="010100"/>
          <w:sz w:val="22"/>
          <w:szCs w:val="22"/>
        </w:rPr>
        <w:t xml:space="preserve">The highest-need categories (admin, branding, and coaching) were not coincidental. They represent the exact functions that solo operators absorb by default and never get to set down. The program did not teach these owners new skills. It gave them the infrastructure to stop carrying everything alone.</w:t>
      </w:r>
    </w:p>
    <w:p>
      <w:pPr>
        <w:spacing w:after="80" w:before="80"/>
      </w:pPr>
      <w:r>
        <w:t xml:space="preserve"/>
      </w:r>
    </w:p>
    <w:p>
      <w:pPr>
        <w:spacing w:after="40" w:before="200"/>
        <w:jc w:val="left"/>
      </w:pPr>
      <w:r>
        <w:rPr>
          <w:rFonts w:ascii="Arial" w:cs="Arial" w:eastAsia="Arial" w:hAnsi="Arial"/>
          <w:b/>
          <w:bCs/>
          <w:i w:val="false"/>
          <w:iCs w:val="false"/>
          <w:color w:val="80C342"/>
          <w:sz w:val="18"/>
          <w:szCs w:val="18"/>
        </w:rPr>
        <w:t xml:space="preserve">PILLAR 2  ·  OPERATIONS</w:t>
      </w:r>
    </w:p>
    <w:p>
      <w:pPr>
        <w:spacing w:after="80" w:before="80"/>
        <w:jc w:val="left"/>
      </w:pPr>
      <w:r>
        <w:rPr>
          <w:rFonts w:ascii="Arial" w:cs="Arial" w:eastAsia="Arial" w:hAnsi="Arial"/>
          <w:b/>
          <w:bCs/>
          <w:i w:val="false"/>
          <w:iCs w:val="false"/>
          <w:color w:val="010100"/>
          <w:sz w:val="28"/>
          <w:szCs w:val="28"/>
        </w:rPr>
        <w:t xml:space="preserve">These Businesses Were Ready for Infrastructure. Not Advice.</w:t>
      </w:r>
    </w:p>
    <w:p>
      <w:pPr>
        <w:spacing w:after="80" w:before="60"/>
        <w:jc w:val="left"/>
      </w:pPr>
      <w:r>
        <w:rPr>
          <w:rFonts w:ascii="Arial" w:cs="Arial" w:eastAsia="Arial" w:hAnsi="Arial"/>
          <w:b w:val="false"/>
          <w:bCs w:val="false"/>
          <w:i w:val="false"/>
          <w:iCs w:val="false"/>
          <w:color w:val="010100"/>
          <w:sz w:val="22"/>
          <w:szCs w:val="22"/>
        </w:rPr>
        <w:t xml:space="preserve">Most small business programs are built around the assumption that entrepreneurs need information. C.O.R.E. found something different. The cohort businesses were not early-stage ideas searching for direction. They were active operators, averaging 3 to 8 years in business, running on spreadsheets, notebooks, disconnected platforms, and founder memory.</w:t>
      </w:r>
    </w:p>
    <w:p>
      <w:pPr>
        <w:spacing w:after="80" w:before="60"/>
        <w:jc w:val="left"/>
      </w:pPr>
      <w:r>
        <w:rPr>
          <w:rFonts w:ascii="Arial" w:cs="Arial" w:eastAsia="Arial" w:hAnsi="Arial"/>
          <w:b w:val="false"/>
          <w:bCs w:val="false"/>
          <w:i w:val="false"/>
          <w:iCs w:val="false"/>
          <w:color w:val="010100"/>
          <w:sz w:val="22"/>
          <w:szCs w:val="22"/>
        </w:rPr>
        <w:t xml:space="preserve">They did not need more information. They needed someone to sit down with them and build the system. The program delivered accordingly.</w:t>
      </w:r>
    </w:p>
    <w:p>
      <w:pPr>
        <w:spacing w:after="40" w:before="40"/>
      </w:pPr>
      <w:r>
        <w:t xml:space="preserve"/>
      </w:r>
    </w:p>
    <w:p>
      <w:pPr>
        <w:spacing w:after="40" w:before="60"/>
        <w:jc w:val="left"/>
      </w:pPr>
      <w:r>
        <w:rPr>
          <w:rFonts w:ascii="Arial" w:cs="Arial" w:eastAsia="Arial" w:hAnsi="Arial"/>
          <w:b/>
          <w:bCs/>
          <w:i w:val="false"/>
          <w:iCs w:val="false"/>
          <w:color w:val="010100"/>
          <w:sz w:val="24"/>
          <w:szCs w:val="24"/>
        </w:rPr>
        <w:t xml:space="preserve">Monthly Revenue at Entry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spacing w:after="60" w:before="60"/>
              <w:jc w:val="center"/>
            </w:pPr>
            <w:r>
              <w:rPr>
                <w:rFonts w:ascii="Arial" w:cs="Arial" w:eastAsia="Arial" w:hAnsi="Arial"/>
                <w:b/>
                <w:bCs/>
                <w:i w:val="false"/>
                <w:iCs w:val="false"/>
                <w:color w:val="80C342"/>
                <w:sz w:val="28"/>
                <w:szCs w:val="28"/>
              </w:rPr>
              <w:t xml:space="preserve">$558</w:t>
            </w:r>
          </w:p>
          <w:p>
            <w:pPr>
              <w:spacing w:after="60" w:before="60"/>
              <w:jc w:val="center"/>
            </w:pPr>
            <w:r>
              <w:rPr>
                <w:rFonts w:ascii="Arial" w:cs="Arial" w:eastAsia="Arial" w:hAnsi="Arial"/>
                <w:b w:val="false"/>
                <w:bCs w:val="false"/>
                <w:i w:val="false"/>
                <w:iCs w:val="false"/>
                <w:color w:val="010100"/>
                <w:sz w:val="18"/>
                <w:szCs w:val="18"/>
              </w:rPr>
              <w:t xml:space="preserve">Business A (lowest)</w:t>
            </w:r>
          </w:p>
        </w:tc>
        <w:tc>
          <w:tcPr>
            <w:tcW w:type="dxa" w:w="312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spacing w:after="60" w:before="60"/>
              <w:jc w:val="center"/>
            </w:pPr>
            <w:r>
              <w:rPr>
                <w:rFonts w:ascii="Arial" w:cs="Arial" w:eastAsia="Arial" w:hAnsi="Arial"/>
                <w:b/>
                <w:bCs/>
                <w:i w:val="false"/>
                <w:iCs w:val="false"/>
                <w:color w:val="0197CA"/>
                <w:sz w:val="28"/>
                <w:szCs w:val="28"/>
              </w:rPr>
              <w:t xml:space="preserve">$5,500</w:t>
            </w:r>
          </w:p>
          <w:p>
            <w:pPr>
              <w:spacing w:after="60" w:before="60"/>
              <w:jc w:val="center"/>
            </w:pPr>
            <w:r>
              <w:rPr>
                <w:rFonts w:ascii="Arial" w:cs="Arial" w:eastAsia="Arial" w:hAnsi="Arial"/>
                <w:b w:val="false"/>
                <w:bCs w:val="false"/>
                <w:i w:val="false"/>
                <w:iCs w:val="false"/>
                <w:color w:val="010100"/>
                <w:sz w:val="18"/>
                <w:szCs w:val="18"/>
              </w:rPr>
              <w:t xml:space="preserve">Business B</w:t>
            </w:r>
          </w:p>
        </w:tc>
        <w:tc>
          <w:tcPr>
            <w:tcW w:type="dxa" w:w="312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spacing w:after="60" w:before="60"/>
              <w:jc w:val="center"/>
            </w:pPr>
            <w:r>
              <w:rPr>
                <w:rFonts w:ascii="Arial" w:cs="Arial" w:eastAsia="Arial" w:hAnsi="Arial"/>
                <w:b/>
                <w:bCs/>
                <w:i w:val="false"/>
                <w:iCs w:val="false"/>
                <w:color w:val="80C342"/>
                <w:sz w:val="28"/>
                <w:szCs w:val="28"/>
              </w:rPr>
              <w:t xml:space="preserve">$8,000</w:t>
            </w:r>
          </w:p>
          <w:p>
            <w:pPr>
              <w:spacing w:after="60" w:before="60"/>
              <w:jc w:val="center"/>
            </w:pPr>
            <w:r>
              <w:rPr>
                <w:rFonts w:ascii="Arial" w:cs="Arial" w:eastAsia="Arial" w:hAnsi="Arial"/>
                <w:b w:val="false"/>
                <w:bCs w:val="false"/>
                <w:i w:val="false"/>
                <w:iCs w:val="false"/>
                <w:color w:val="010100"/>
                <w:sz w:val="18"/>
                <w:szCs w:val="18"/>
              </w:rPr>
              <w:t xml:space="preserve">Business C (highest)</w:t>
            </w:r>
          </w:p>
        </w:tc>
      </w:tr>
    </w:tbl>
    <w:p>
      <w:pPr>
        <w:spacing w:after="40" w:before="40"/>
      </w:pPr>
      <w:r>
        <w:t xml:space="preserve"/>
      </w:r>
    </w:p>
    <w:p>
      <w:pPr>
        <w:spacing w:after="40" w:before="60"/>
        <w:jc w:val="left"/>
      </w:pPr>
      <w:r>
        <w:rPr>
          <w:rFonts w:ascii="Arial" w:cs="Arial" w:eastAsia="Arial" w:hAnsi="Arial"/>
          <w:b/>
          <w:bCs/>
          <w:i w:val="false"/>
          <w:iCs w:val="false"/>
          <w:color w:val="010100"/>
          <w:sz w:val="24"/>
          <w:szCs w:val="24"/>
        </w:rPr>
        <w:t xml:space="preserve">Operations Support Delivered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CCCCC" w:sz="1"/>
              <w:left w:val="single" w:color="CCCCCC" w:sz="1"/>
              <w:bottom w:val="single" w:color="CCCCCC" w:sz="1"/>
              <w:right w:val="single" w:color="CCCCCC" w:sz="1"/>
            </w:tcBorders>
            <w:shd w:fill="E8F6FC" w:val="clear"/>
            <w:tcMar>
              <w:top w:type="dxa" w:w="100"/>
              <w:left w:type="dxa" w:w="140"/>
              <w:bottom w:type="dxa" w:w="100"/>
              <w:right w:type="dxa" w:w="140"/>
            </w:tcMar>
            <w:vAlign w:val="center"/>
          </w:tcPr>
          <w:p>
            <w:pPr>
              <w:spacing w:after="60" w:before="60"/>
              <w:jc w:val="left"/>
            </w:pPr>
            <w:r>
              <w:rPr>
                <w:rFonts w:ascii="Arial" w:cs="Arial" w:eastAsia="Arial" w:hAnsi="Arial"/>
                <w:b w:val="false"/>
                <w:bCs w:val="false"/>
                <w:i w:val="false"/>
                <w:iCs w:val="false"/>
                <w:color w:val="010100"/>
                <w:sz w:val="20"/>
                <w:szCs w:val="20"/>
              </w:rPr>
              <w:t xml:space="preserve">QuickBooks implementation</w:t>
            </w:r>
          </w:p>
          <w:p>
            <w:pPr>
              <w:spacing w:after="60" w:before="60"/>
              <w:jc w:val="left"/>
            </w:pPr>
            <w:r>
              <w:rPr>
                <w:rFonts w:ascii="Arial" w:cs="Arial" w:eastAsia="Arial" w:hAnsi="Arial"/>
                <w:b w:val="false"/>
                <w:bCs w:val="false"/>
                <w:i w:val="false"/>
                <w:iCs w:val="false"/>
                <w:color w:val="010100"/>
                <w:sz w:val="20"/>
                <w:szCs w:val="20"/>
              </w:rPr>
              <w:t xml:space="preserve">Workflow automation</w:t>
            </w:r>
          </w:p>
          <w:p>
            <w:pPr>
              <w:spacing w:after="60" w:before="60"/>
              <w:jc w:val="left"/>
            </w:pPr>
            <w:r>
              <w:rPr>
                <w:rFonts w:ascii="Arial" w:cs="Arial" w:eastAsia="Arial" w:hAnsi="Arial"/>
                <w:b w:val="false"/>
                <w:bCs w:val="false"/>
                <w:i w:val="false"/>
                <w:iCs w:val="false"/>
                <w:color w:val="010100"/>
                <w:sz w:val="20"/>
                <w:szCs w:val="20"/>
              </w:rPr>
              <w:t xml:space="preserve">Operational documentation</w:t>
            </w:r>
          </w:p>
        </w:tc>
        <w:tc>
          <w:tcPr>
            <w:tcW w:type="dxa" w:w="4680"/>
            <w:tcBorders>
              <w:top w:val="single" w:color="CCCCCC" w:sz="1"/>
              <w:left w:val="single" w:color="CCCCCC" w:sz="1"/>
              <w:bottom w:val="single" w:color="CCCCCC" w:sz="1"/>
              <w:right w:val="single" w:color="CCCCCC" w:sz="1"/>
            </w:tcBorders>
            <w:shd w:fill="E8F6FC" w:val="clear"/>
            <w:tcMar>
              <w:top w:type="dxa" w:w="100"/>
              <w:left w:type="dxa" w:w="140"/>
              <w:bottom w:type="dxa" w:w="100"/>
              <w:right w:type="dxa" w:w="140"/>
            </w:tcMar>
            <w:vAlign w:val="center"/>
          </w:tcPr>
          <w:p>
            <w:pPr>
              <w:spacing w:after="60" w:before="60"/>
              <w:jc w:val="left"/>
            </w:pPr>
            <w:r>
              <w:rPr>
                <w:rFonts w:ascii="Arial" w:cs="Arial" w:eastAsia="Arial" w:hAnsi="Arial"/>
                <w:b w:val="false"/>
                <w:bCs w:val="false"/>
                <w:i w:val="false"/>
                <w:iCs w:val="false"/>
                <w:color w:val="010100"/>
                <w:sz w:val="20"/>
                <w:szCs w:val="20"/>
              </w:rPr>
              <w:t xml:space="preserve">CRM development</w:t>
            </w:r>
          </w:p>
          <w:p>
            <w:pPr>
              <w:spacing w:after="60" w:before="60"/>
              <w:jc w:val="left"/>
            </w:pPr>
            <w:r>
              <w:rPr>
                <w:rFonts w:ascii="Arial" w:cs="Arial" w:eastAsia="Arial" w:hAnsi="Arial"/>
                <w:b w:val="false"/>
                <w:bCs w:val="false"/>
                <w:i w:val="false"/>
                <w:iCs w:val="false"/>
                <w:color w:val="010100"/>
                <w:sz w:val="20"/>
                <w:szCs w:val="20"/>
              </w:rPr>
              <w:t xml:space="preserve">Onboarding systems</w:t>
            </w:r>
          </w:p>
          <w:p>
            <w:pPr>
              <w:spacing w:after="60" w:before="60"/>
              <w:jc w:val="left"/>
            </w:pPr>
            <w:r>
              <w:rPr>
                <w:rFonts w:ascii="Arial" w:cs="Arial" w:eastAsia="Arial" w:hAnsi="Arial"/>
                <w:b w:val="false"/>
                <w:bCs w:val="false"/>
                <w:i w:val="false"/>
                <w:iCs w:val="false"/>
                <w:color w:val="010100"/>
                <w:sz w:val="20"/>
                <w:szCs w:val="20"/>
              </w:rPr>
              <w:t xml:space="preserve">HR assessments</w:t>
            </w:r>
          </w:p>
        </w:tc>
      </w:tr>
    </w:tbl>
    <w:p>
      <w:pPr>
        <w:spacing w:after="40" w:before="4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0"/>
          <w:bottom w:type="dxa" w:w="0"/>
        </w:tblCellMar>
      </w:tblPr>
      <w:tblGrid>
        <w:gridCol w:w="9360"/>
      </w:tblGrid>
      <w:tr>
        <w:tc>
          <w:tcPr>
            <w:tcW w:type="dxa" w:w="9360"/>
            <w:tcBorders>
              <w:top w:val="none" w:color="FFFFFF" w:sz="0"/>
              <w:left w:val="none" w:color="FFFFFF" w:sz="0"/>
              <w:bottom w:val="none" w:color="FFFFFF" w:sz="0"/>
              <w:right w:val="none" w:color="FFFFFF" w:sz="0"/>
            </w:tcBorders>
            <w:shd w:fill="E8F6FC" w:val="clear"/>
            <w:tcMar>
              <w:top w:type="dxa" w:w="100"/>
              <w:left w:type="dxa" w:w="140"/>
              <w:bottom w:type="dxa" w:w="100"/>
              <w:right w:type="dxa" w:w="140"/>
            </w:tcMar>
            <w:vAlign w:val="center"/>
          </w:tcPr>
          <w:p>
            <w:pPr>
              <w:spacing w:after="60" w:before="60"/>
              <w:jc w:val="center"/>
            </w:pPr>
            <w:r>
              <w:rPr>
                <w:rFonts w:ascii="Arial" w:cs="Arial" w:eastAsia="Arial" w:hAnsi="Arial"/>
                <w:b/>
                <w:bCs/>
                <w:color w:val="0197CA"/>
                <w:sz w:val="24"/>
                <w:szCs w:val="24"/>
              </w:rPr>
              <w:t xml:space="preserve">“</w:t>
            </w:r>
            <w:r>
              <w:rPr>
                <w:rFonts w:ascii="Arial" w:cs="Arial" w:eastAsia="Arial" w:hAnsi="Arial"/>
                <w:b/>
                <w:bCs/>
                <w:i/>
                <w:iCs/>
                <w:color w:val="010100"/>
                <w:sz w:val="22"/>
                <w:szCs w:val="22"/>
              </w:rPr>
              <w:t xml:space="preserve">A jigsaw puzzle finally put together.</w:t>
            </w:r>
            <w:r>
              <w:rPr>
                <w:rFonts w:ascii="Arial" w:cs="Arial" w:eastAsia="Arial" w:hAnsi="Arial"/>
                <w:b/>
                <w:bCs/>
                <w:color w:val="0197CA"/>
                <w:sz w:val="24"/>
                <w:szCs w:val="24"/>
              </w:rPr>
              <w:t xml:space="preserve">”</w:t>
            </w:r>
          </w:p>
          <w:p>
            <w:pPr>
              <w:spacing w:after="60" w:before="60"/>
              <w:jc w:val="center"/>
            </w:pPr>
            <w:r>
              <w:rPr>
                <w:rFonts w:ascii="Arial" w:cs="Arial" w:eastAsia="Arial" w:hAnsi="Arial"/>
                <w:b/>
                <w:bCs/>
                <w:i w:val="false"/>
                <w:iCs w:val="false"/>
                <w:color w:val="0197CA"/>
                <w:sz w:val="18"/>
                <w:szCs w:val="18"/>
              </w:rPr>
              <w:t xml:space="preserve">— Cohort Participant  ·  Navigator C.O.R.E.</w:t>
            </w:r>
          </w:p>
        </w:tc>
      </w:tr>
    </w:tbl>
    <w:p>
      <w:pPr>
        <w:spacing w:after="40" w:before="4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0"/>
          <w:bottom w:type="dxa" w:w="0"/>
        </w:tblCellMar>
      </w:tblPr>
      <w:tblGrid>
        <w:gridCol w:w="9360"/>
      </w:tblGrid>
      <w:tr>
        <w:tc>
          <w:tcPr>
            <w:tcW w:type="dxa" w:w="9360"/>
            <w:tcBorders>
              <w:top w:val="none" w:color="FFFFFF" w:sz="0"/>
              <w:left w:val="none" w:color="FFFFFF" w:sz="0"/>
              <w:bottom w:val="none" w:color="FFFFFF" w:sz="0"/>
              <w:right w:val="none" w:color="FFFFFF" w:sz="0"/>
            </w:tcBorders>
            <w:shd w:fill="F5F5F5" w:val="clear"/>
            <w:tcMar>
              <w:top w:type="dxa" w:w="100"/>
              <w:left w:type="dxa" w:w="140"/>
              <w:bottom w:type="dxa" w:w="100"/>
              <w:right w:type="dxa" w:w="140"/>
            </w:tcMar>
            <w:vAlign w:val="center"/>
          </w:tcPr>
          <w:p>
            <w:pPr>
              <w:spacing w:after="60" w:before="60"/>
              <w:jc w:val="left"/>
            </w:pPr>
            <w:r>
              <w:rPr>
                <w:rFonts w:ascii="Arial" w:cs="Arial" w:eastAsia="Arial" w:hAnsi="Arial"/>
                <w:b/>
                <w:bCs/>
                <w:i w:val="false"/>
                <w:iCs w:val="false"/>
                <w:color w:val="0197CA"/>
                <w:sz w:val="22"/>
                <w:szCs w:val="22"/>
              </w:rPr>
              <w:t xml:space="preserve">Bottom Line</w:t>
            </w:r>
          </w:p>
          <w:p>
            <w:pPr>
              <w:spacing w:after="80" w:before="60"/>
              <w:jc w:val="left"/>
            </w:pPr>
            <w:r>
              <w:rPr>
                <w:rFonts w:ascii="Arial" w:cs="Arial" w:eastAsia="Arial" w:hAnsi="Arial"/>
                <w:b w:val="false"/>
                <w:bCs w:val="false"/>
                <w:i w:val="false"/>
                <w:iCs w:val="false"/>
                <w:color w:val="010100"/>
                <w:sz w:val="22"/>
                <w:szCs w:val="22"/>
              </w:rPr>
              <w:t xml:space="preserve">Operational infrastructure is not a luxury for entrepreneurs. It is foundational. The program did not introduce these owners to new concepts. It built the systems they had been trying to build alone.</w:t>
            </w:r>
          </w:p>
        </w:tc>
      </w:tr>
    </w:tbl>
    <w:p>
      <w:pPr>
        <w:spacing w:after="80" w:before="80"/>
      </w:pPr>
      <w:r>
        <w:t xml:space="preserve"/>
      </w:r>
    </w:p>
    <w:p>
      <w:pPr>
        <w:spacing w:after="40" w:before="200"/>
        <w:jc w:val="left"/>
      </w:pPr>
      <w:r>
        <w:rPr>
          <w:rFonts w:ascii="Arial" w:cs="Arial" w:eastAsia="Arial" w:hAnsi="Arial"/>
          <w:b/>
          <w:bCs/>
          <w:i w:val="false"/>
          <w:iCs w:val="false"/>
          <w:color w:val="80C342"/>
          <w:sz w:val="18"/>
          <w:szCs w:val="18"/>
        </w:rPr>
        <w:t xml:space="preserve">PILLAR 3  ·  PROVIDER ACCOUNTABILITY</w:t>
      </w:r>
    </w:p>
    <w:p>
      <w:pPr>
        <w:spacing w:after="80" w:before="80"/>
        <w:jc w:val="left"/>
      </w:pPr>
      <w:r>
        <w:rPr>
          <w:rFonts w:ascii="Arial" w:cs="Arial" w:eastAsia="Arial" w:hAnsi="Arial"/>
          <w:b/>
          <w:bCs/>
          <w:i w:val="false"/>
          <w:iCs w:val="false"/>
          <w:color w:val="010100"/>
          <w:sz w:val="28"/>
          <w:szCs w:val="28"/>
        </w:rPr>
        <w:t xml:space="preserve">The People Delivering Support Needed Support Too.</w:t>
      </w:r>
    </w:p>
    <w:p>
      <w:pPr>
        <w:spacing w:after="80" w:before="60"/>
        <w:jc w:val="left"/>
      </w:pPr>
      <w:r>
        <w:rPr>
          <w:rFonts w:ascii="Arial" w:cs="Arial" w:eastAsia="Arial" w:hAnsi="Arial"/>
          <w:b w:val="false"/>
          <w:bCs w:val="false"/>
          <w:i w:val="false"/>
          <w:iCs w:val="false"/>
          <w:color w:val="010100"/>
          <w:sz w:val="22"/>
          <w:szCs w:val="22"/>
        </w:rPr>
        <w:t xml:space="preserve">This was the pilot’s most unexpected finding, and one of its most important.</w:t>
      </w:r>
    </w:p>
    <w:p>
      <w:pPr>
        <w:spacing w:after="80" w:before="60"/>
        <w:jc w:val="left"/>
      </w:pPr>
      <w:r>
        <w:rPr>
          <w:rFonts w:ascii="Arial" w:cs="Arial" w:eastAsia="Arial" w:hAnsi="Arial"/>
          <w:b w:val="false"/>
          <w:bCs w:val="false"/>
          <w:i w:val="false"/>
          <w:iCs w:val="false"/>
          <w:color w:val="010100"/>
          <w:sz w:val="22"/>
          <w:szCs w:val="22"/>
        </w:rPr>
        <w:t xml:space="preserve">Navigator C.O.R.E. recruited skilled, vetted local experts to deliver technical assistance. They were strong at their craft. What the program revealed is that being a skilled practitioner and being an effective embedded support provider inside a structured nine-month engagement are not the same thing.</w:t>
      </w:r>
    </w:p>
    <w:p>
      <w:pPr>
        <w:spacing w:after="80" w:before="60"/>
        <w:jc w:val="left"/>
      </w:pPr>
      <w:r>
        <w:rPr>
          <w:rFonts w:ascii="Arial" w:cs="Arial" w:eastAsia="Arial" w:hAnsi="Arial"/>
          <w:b w:val="false"/>
          <w:bCs w:val="false"/>
          <w:i w:val="false"/>
          <w:iCs w:val="false"/>
          <w:color w:val="010100"/>
          <w:sz w:val="22"/>
          <w:szCs w:val="22"/>
        </w:rPr>
        <w:t xml:space="preserve">Providers arrived with expertise in branding, bookkeeping, operations, technology, and coaching. What some lacked was the infrastructure of providing: clear scope documentation, client communication protocols, deliverable tracking systems, and the relational tools for navigating slow-start engagements without losing momentum.</w:t>
      </w:r>
    </w:p>
    <w:p>
      <w:pPr>
        <w:spacing w:after="80" w:before="60"/>
        <w:jc w:val="left"/>
      </w:pPr>
      <w:r>
        <w:rPr>
          <w:rFonts w:ascii="Arial" w:cs="Arial" w:eastAsia="Arial" w:hAnsi="Arial"/>
          <w:b w:val="false"/>
          <w:bCs w:val="false"/>
          <w:i w:val="false"/>
          <w:iCs w:val="false"/>
          <w:color w:val="010100"/>
          <w:sz w:val="22"/>
          <w:szCs w:val="22"/>
        </w:rPr>
        <w:t xml:space="preserve">In at least one instance, a scope misunderstanding required Network Navigator to intervene, clarify deliverables in writing, and reset expectations on both sides before the engagement could continue. This was not a failure. It was a gap the program design had not accounted for, and a signal that wraparound support must flow in both directions.</w:t>
      </w:r>
    </w:p>
    <w:p>
      <w:pPr>
        <w:spacing w:after="40" w:before="4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0"/>
          <w:bottom w:type="dxa" w:w="0"/>
        </w:tblCellMar>
      </w:tblPr>
      <w:tblGrid>
        <w:gridCol w:w="9360"/>
      </w:tblGrid>
      <w:tr>
        <w:tc>
          <w:tcPr>
            <w:tcW w:type="dxa" w:w="9360"/>
            <w:tcBorders>
              <w:top w:val="none" w:color="FFFFFF" w:sz="0"/>
              <w:left w:val="none" w:color="FFFFFF" w:sz="0"/>
              <w:bottom w:val="none" w:color="FFFFFF" w:sz="0"/>
              <w:right w:val="none" w:color="FFFFFF" w:sz="0"/>
            </w:tcBorders>
            <w:shd w:fill="E8F6FC" w:val="clear"/>
            <w:tcMar>
              <w:top w:type="dxa" w:w="100"/>
              <w:left w:type="dxa" w:w="140"/>
              <w:bottom w:type="dxa" w:w="100"/>
              <w:right w:type="dxa" w:w="140"/>
            </w:tcMar>
            <w:vAlign w:val="center"/>
          </w:tcPr>
          <w:p>
            <w:pPr>
              <w:spacing w:after="60" w:before="60"/>
              <w:jc w:val="left"/>
            </w:pPr>
            <w:r>
              <w:rPr>
                <w:rFonts w:ascii="Arial" w:cs="Arial" w:eastAsia="Arial" w:hAnsi="Arial"/>
                <w:b/>
                <w:bCs/>
                <w:i w:val="false"/>
                <w:iCs w:val="false"/>
                <w:color w:val="0197CA"/>
                <w:sz w:val="22"/>
                <w:szCs w:val="22"/>
              </w:rPr>
              <w:t xml:space="preserve">Three Dimensions of Provider Support Need</w:t>
            </w:r>
          </w:p>
          <w:p>
            <w:pPr>
              <w:spacing w:after="60" w:before="60"/>
              <w:jc w:val="left"/>
            </w:pPr>
            <w:r>
              <w:rPr>
                <w:rFonts w:ascii="Arial" w:cs="Arial" w:eastAsia="Arial" w:hAnsi="Arial"/>
                <w:b w:val="false"/>
                <w:bCs w:val="false"/>
                <w:i w:val="false"/>
                <w:iCs w:val="false"/>
                <w:color w:val="010100"/>
                <w:sz w:val="20"/>
                <w:szCs w:val="20"/>
              </w:rPr>
              <w:t xml:space="preserve">Operational: Scope documentation, client communication systems, deliverable tracking</w:t>
            </w:r>
          </w:p>
          <w:p>
            <w:pPr>
              <w:spacing w:after="60" w:before="60"/>
              <w:jc w:val="left"/>
            </w:pPr>
            <w:r>
              <w:rPr>
                <w:rFonts w:ascii="Arial" w:cs="Arial" w:eastAsia="Arial" w:hAnsi="Arial"/>
                <w:b w:val="false"/>
                <w:bCs w:val="false"/>
                <w:i w:val="false"/>
                <w:iCs w:val="false"/>
                <w:color w:val="010100"/>
                <w:sz w:val="20"/>
                <w:szCs w:val="20"/>
              </w:rPr>
              <w:t xml:space="preserve">Structural: Clear contracts, billing workflows, conflict resolution protocols</w:t>
            </w:r>
          </w:p>
          <w:p>
            <w:pPr>
              <w:spacing w:after="60" w:before="60"/>
              <w:jc w:val="left"/>
            </w:pPr>
            <w:r>
              <w:rPr>
                <w:rFonts w:ascii="Arial" w:cs="Arial" w:eastAsia="Arial" w:hAnsi="Arial"/>
                <w:b w:val="false"/>
                <w:bCs w:val="false"/>
                <w:i w:val="false"/>
                <w:iCs w:val="false"/>
                <w:color w:val="010100"/>
                <w:sz w:val="20"/>
                <w:szCs w:val="20"/>
              </w:rPr>
              <w:t xml:space="preserve">Developmental: Peer learning, cohort convenings, provider capacity building</w:t>
            </w:r>
          </w:p>
        </w:tc>
      </w:tr>
    </w:tbl>
    <w:p>
      <w:pPr>
        <w:spacing w:after="40" w:before="40"/>
      </w:pPr>
      <w:r>
        <w:t xml:space="preserve"/>
      </w:r>
    </w:p>
    <w:p>
      <w:pPr>
        <w:spacing w:after="80" w:before="60"/>
        <w:jc w:val="left"/>
      </w:pPr>
      <w:r>
        <w:rPr>
          <w:rFonts w:ascii="Arial" w:cs="Arial" w:eastAsia="Arial" w:hAnsi="Arial"/>
          <w:b w:val="false"/>
          <w:bCs w:val="false"/>
          <w:i w:val="false"/>
          <w:iCs w:val="false"/>
          <w:color w:val="010100"/>
          <w:sz w:val="22"/>
          <w:szCs w:val="22"/>
        </w:rPr>
        <w:t xml:space="preserve">The good news: the C.O.R.E. model is uniquely positioned to address this. A network of well-supported, well-equipped local TA providers is itself a civic asset. Birmingham has the talent. The C.O.R.E. model creates the infrastructure around it. A mature version of this program includes a provider track, with the same intentionality applied to onboarding, accountability, and growth that the business owner track receives.</w:t>
      </w:r>
    </w:p>
    <w:p>
      <w:pPr>
        <w:spacing w:after="80" w:before="60"/>
        <w:jc w:val="left"/>
      </w:pPr>
      <w:r>
        <w:rPr>
          <w:rFonts w:ascii="Arial" w:cs="Arial" w:eastAsia="Arial" w:hAnsi="Arial"/>
          <w:b w:val="false"/>
          <w:bCs w:val="false"/>
          <w:i w:val="false"/>
          <w:iCs w:val="false"/>
          <w:color w:val="010100"/>
          <w:sz w:val="22"/>
          <w:szCs w:val="22"/>
        </w:rPr>
        <w:t xml:space="preserve">It also produced something the sector rarely sees: provider-to-provider collaboration. One provider, unable to fulfill a portion of scope outside her expertise, subcontracted to a fellow Navigator provider. The revenue stayed in the cohort. The work got done right. That is ecosystem behavior.</w:t>
      </w:r>
    </w:p>
    <w:p>
      <w:pPr>
        <w:spacing w:after="80" w:before="80"/>
      </w:pPr>
      <w:r>
        <w:t xml:space="preserve"/>
      </w:r>
    </w:p>
    <w:p>
      <w:pPr>
        <w:spacing w:after="40" w:before="200"/>
        <w:jc w:val="left"/>
      </w:pPr>
      <w:r>
        <w:rPr>
          <w:rFonts w:ascii="Arial" w:cs="Arial" w:eastAsia="Arial" w:hAnsi="Arial"/>
          <w:b/>
          <w:bCs/>
          <w:i w:val="false"/>
          <w:iCs w:val="false"/>
          <w:color w:val="80C342"/>
          <w:sz w:val="18"/>
          <w:szCs w:val="18"/>
        </w:rPr>
        <w:t xml:space="preserve">PILLAR 4  ·  EXECUTION</w:t>
      </w:r>
    </w:p>
    <w:p>
      <w:pPr>
        <w:spacing w:after="80" w:before="80"/>
        <w:jc w:val="left"/>
      </w:pPr>
      <w:r>
        <w:rPr>
          <w:rFonts w:ascii="Arial" w:cs="Arial" w:eastAsia="Arial" w:hAnsi="Arial"/>
          <w:b/>
          <w:bCs/>
          <w:i w:val="false"/>
          <w:iCs w:val="false"/>
          <w:color w:val="010100"/>
          <w:sz w:val="28"/>
          <w:szCs w:val="28"/>
        </w:rPr>
        <w:t xml:space="preserve">Support Beyond Deliverables.</w:t>
      </w:r>
    </w:p>
    <w:p>
      <w:pPr>
        <w:spacing w:after="80" w:before="60"/>
        <w:jc w:val="left"/>
      </w:pPr>
      <w:r>
        <w:rPr>
          <w:rFonts w:ascii="Arial" w:cs="Arial" w:eastAsia="Arial" w:hAnsi="Arial"/>
          <w:b w:val="false"/>
          <w:bCs w:val="false"/>
          <w:i w:val="false"/>
          <w:iCs w:val="false"/>
          <w:color w:val="010100"/>
          <w:sz w:val="22"/>
          <w:szCs w:val="22"/>
        </w:rPr>
        <w:t xml:space="preserve">Technical assistance providers in C.O.R.E. frequently became embedded operational partners, not just deliverable producers. They helped entrepreneurs navigate systems, process decisions, build confidence, and plan for what comes next. The work was relational as often as it was technical.</w:t>
      </w:r>
    </w:p>
    <w:p>
      <w:pPr>
        <w:spacing w:after="80" w:before="60"/>
        <w:jc w:val="left"/>
      </w:pPr>
      <w:r>
        <w:rPr>
          <w:rFonts w:ascii="Arial" w:cs="Arial" w:eastAsia="Arial" w:hAnsi="Arial"/>
          <w:b w:val="false"/>
          <w:bCs w:val="false"/>
          <w:i w:val="false"/>
          <w:iCs w:val="false"/>
          <w:color w:val="010100"/>
          <w:sz w:val="22"/>
          <w:szCs w:val="22"/>
        </w:rPr>
        <w:t xml:space="preserve">What this pilot learned is that transformation does not happen in a workshop or a one-time consultation. It happens across a season. There is a sequence to it, and it cannot be rushed.</w:t>
      </w:r>
    </w:p>
    <w:p>
      <w:pPr>
        <w:spacing w:after="40" w:before="40"/>
      </w:pPr>
      <w:r>
        <w:t xml:space="preserve"/>
      </w:r>
    </w:p>
    <w:p>
      <w:pPr>
        <w:spacing w:after="40" w:before="60"/>
        <w:jc w:val="left"/>
      </w:pPr>
      <w:r>
        <w:rPr>
          <w:rFonts w:ascii="Arial" w:cs="Arial" w:eastAsia="Arial" w:hAnsi="Arial"/>
          <w:b/>
          <w:bCs/>
          <w:i w:val="false"/>
          <w:iCs w:val="false"/>
          <w:color w:val="010100"/>
          <w:sz w:val="24"/>
          <w:szCs w:val="24"/>
        </w:rPr>
        <w:t xml:space="preserve">The Transformation Arc</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none" w:color="FFFFFF" w:sz="0"/>
              <w:left w:val="none" w:color="FFFFFF" w:sz="0"/>
              <w:bottom w:val="none" w:color="FFFFFF" w:sz="0"/>
              <w:right w:val="none" w:color="FFFFFF" w:sz="0"/>
            </w:tcBorders>
            <w:shd w:fill="80C342" w:val="clear"/>
            <w:tcMar>
              <w:top w:type="dxa" w:w="100"/>
              <w:left w:type="dxa" w:w="140"/>
              <w:bottom w:type="dxa" w:w="100"/>
              <w:right w:type="dxa" w:w="140"/>
            </w:tcMar>
            <w:vAlign w:val="center"/>
          </w:tcPr>
          <w:p>
            <w:pPr>
              <w:spacing w:after="60" w:before="60"/>
              <w:jc w:val="center"/>
            </w:pPr>
            <w:r>
              <w:rPr>
                <w:rFonts w:ascii="Arial" w:cs="Arial" w:eastAsia="Arial" w:hAnsi="Arial"/>
                <w:b/>
                <w:bCs/>
                <w:i w:val="false"/>
                <w:iCs w:val="false"/>
                <w:color w:val="FFFFFF"/>
                <w:sz w:val="20"/>
                <w:szCs w:val="20"/>
              </w:rPr>
              <w:t xml:space="preserve">Months 1–2</w:t>
            </w:r>
          </w:p>
          <w:p>
            <w:pPr>
              <w:spacing w:after="60" w:before="60"/>
              <w:jc w:val="center"/>
            </w:pPr>
            <w:r>
              <w:rPr>
                <w:rFonts w:ascii="Arial" w:cs="Arial" w:eastAsia="Arial" w:hAnsi="Arial"/>
                <w:b w:val="false"/>
                <w:bCs w:val="false"/>
                <w:i w:val="false"/>
                <w:iCs w:val="false"/>
                <w:color w:val="FFFFFF"/>
                <w:sz w:val="18"/>
                <w:szCs w:val="18"/>
              </w:rPr>
              <w:t xml:space="preserve">Clarify Needs &amp; Build Trust</w:t>
            </w:r>
          </w:p>
        </w:tc>
        <w:tc>
          <w:tcPr>
            <w:tcW w:type="dxa" w:w="3120"/>
            <w:tcBorders>
              <w:top w:val="none" w:color="FFFFFF" w:sz="0"/>
              <w:left w:val="none" w:color="FFFFFF" w:sz="0"/>
              <w:bottom w:val="none" w:color="FFFFFF" w:sz="0"/>
              <w:right w:val="none" w:color="FFFFFF" w:sz="0"/>
            </w:tcBorders>
            <w:shd w:fill="0197CA" w:val="clear"/>
            <w:tcMar>
              <w:top w:type="dxa" w:w="100"/>
              <w:left w:type="dxa" w:w="140"/>
              <w:bottom w:type="dxa" w:w="100"/>
              <w:right w:type="dxa" w:w="140"/>
            </w:tcMar>
            <w:vAlign w:val="center"/>
          </w:tcPr>
          <w:p>
            <w:pPr>
              <w:spacing w:after="60" w:before="60"/>
              <w:jc w:val="center"/>
            </w:pPr>
            <w:r>
              <w:rPr>
                <w:rFonts w:ascii="Arial" w:cs="Arial" w:eastAsia="Arial" w:hAnsi="Arial"/>
                <w:b/>
                <w:bCs/>
                <w:i w:val="false"/>
                <w:iCs w:val="false"/>
                <w:color w:val="FFFFFF"/>
                <w:sz w:val="20"/>
                <w:szCs w:val="20"/>
              </w:rPr>
              <w:t xml:space="preserve">Months 3–5</w:t>
            </w:r>
          </w:p>
          <w:p>
            <w:pPr>
              <w:spacing w:after="60" w:before="60"/>
              <w:jc w:val="center"/>
            </w:pPr>
            <w:r>
              <w:rPr>
                <w:rFonts w:ascii="Arial" w:cs="Arial" w:eastAsia="Arial" w:hAnsi="Arial"/>
                <w:b w:val="false"/>
                <w:bCs w:val="false"/>
                <w:i w:val="false"/>
                <w:iCs w:val="false"/>
                <w:color w:val="FFFFFF"/>
                <w:sz w:val="18"/>
                <w:szCs w:val="18"/>
              </w:rPr>
              <w:t xml:space="preserve">Implement Systems &amp; Strengthen Ops</w:t>
            </w:r>
          </w:p>
        </w:tc>
        <w:tc>
          <w:tcPr>
            <w:tcW w:type="dxa" w:w="3120"/>
            <w:tcBorders>
              <w:top w:val="none" w:color="FFFFFF" w:sz="0"/>
              <w:left w:val="none" w:color="FFFFFF" w:sz="0"/>
              <w:bottom w:val="none" w:color="FFFFFF" w:sz="0"/>
              <w:right w:val="none" w:color="FFFFFF" w:sz="0"/>
            </w:tcBorders>
            <w:shd w:fill="010100" w:val="clear"/>
            <w:tcMar>
              <w:top w:type="dxa" w:w="100"/>
              <w:left w:type="dxa" w:w="140"/>
              <w:bottom w:type="dxa" w:w="100"/>
              <w:right w:type="dxa" w:w="140"/>
            </w:tcMar>
            <w:vAlign w:val="center"/>
          </w:tcPr>
          <w:p>
            <w:pPr>
              <w:spacing w:after="60" w:before="60"/>
              <w:jc w:val="center"/>
            </w:pPr>
            <w:r>
              <w:rPr>
                <w:rFonts w:ascii="Arial" w:cs="Arial" w:eastAsia="Arial" w:hAnsi="Arial"/>
                <w:b/>
                <w:bCs/>
                <w:i w:val="false"/>
                <w:iCs w:val="false"/>
                <w:color w:val="FFFFFF"/>
                <w:sz w:val="20"/>
                <w:szCs w:val="20"/>
              </w:rPr>
              <w:t xml:space="preserve">Months 6–9</w:t>
            </w:r>
          </w:p>
          <w:p>
            <w:pPr>
              <w:spacing w:after="60" w:before="60"/>
              <w:jc w:val="center"/>
            </w:pPr>
            <w:r>
              <w:rPr>
                <w:rFonts w:ascii="Arial" w:cs="Arial" w:eastAsia="Arial" w:hAnsi="Arial"/>
                <w:b w:val="false"/>
                <w:bCs w:val="false"/>
                <w:i w:val="false"/>
                <w:iCs w:val="false"/>
                <w:color w:val="FFFFFF"/>
                <w:sz w:val="18"/>
                <w:szCs w:val="18"/>
              </w:rPr>
              <w:t xml:space="preserve">Build Confidence &amp; Expand Capacity</w:t>
            </w:r>
          </w:p>
        </w:tc>
      </w:tr>
    </w:tbl>
    <w:p>
      <w:pPr>
        <w:spacing w:after="40" w:before="4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0"/>
          <w:bottom w:type="dxa" w:w="0"/>
        </w:tblCellMar>
      </w:tblPr>
      <w:tblGrid>
        <w:gridCol w:w="9360"/>
      </w:tblGrid>
      <w:tr>
        <w:tc>
          <w:tcPr>
            <w:tcW w:type="dxa" w:w="9360"/>
            <w:tcBorders>
              <w:top w:val="none" w:color="FFFFFF" w:sz="0"/>
              <w:left w:val="none" w:color="FFFFFF" w:sz="0"/>
              <w:bottom w:val="none" w:color="FFFFFF" w:sz="0"/>
              <w:right w:val="none" w:color="FFFFFF" w:sz="0"/>
            </w:tcBorders>
            <w:shd w:fill="E8F6FC" w:val="clear"/>
            <w:tcMar>
              <w:top w:type="dxa" w:w="100"/>
              <w:left w:type="dxa" w:w="140"/>
              <w:bottom w:type="dxa" w:w="100"/>
              <w:right w:type="dxa" w:w="140"/>
            </w:tcMar>
            <w:vAlign w:val="center"/>
          </w:tcPr>
          <w:p>
            <w:pPr>
              <w:spacing w:after="60" w:before="60"/>
              <w:jc w:val="center"/>
            </w:pPr>
            <w:r>
              <w:rPr>
                <w:rFonts w:ascii="Arial" w:cs="Arial" w:eastAsia="Arial" w:hAnsi="Arial"/>
                <w:b/>
                <w:bCs/>
                <w:color w:val="0197CA"/>
                <w:sz w:val="24"/>
                <w:szCs w:val="24"/>
              </w:rPr>
              <w:t xml:space="preserve">“</w:t>
            </w:r>
            <w:r>
              <w:rPr>
                <w:rFonts w:ascii="Arial" w:cs="Arial" w:eastAsia="Arial" w:hAnsi="Arial"/>
                <w:b/>
                <w:bCs/>
                <w:i/>
                <w:iCs/>
                <w:color w:val="010100"/>
                <w:sz w:val="22"/>
                <w:szCs w:val="22"/>
              </w:rPr>
              <w:t xml:space="preserve">Progress is not defined by immediate financial gain or large milestones, but by the clarity you develop, the consistency you build, and the intentional decisions you make daily.</w:t>
            </w:r>
            <w:r>
              <w:rPr>
                <w:rFonts w:ascii="Arial" w:cs="Arial" w:eastAsia="Arial" w:hAnsi="Arial"/>
                <w:b/>
                <w:bCs/>
                <w:color w:val="0197CA"/>
                <w:sz w:val="24"/>
                <w:szCs w:val="24"/>
              </w:rPr>
              <w:t xml:space="preserve">”</w:t>
            </w:r>
          </w:p>
          <w:p>
            <w:pPr>
              <w:spacing w:after="60" w:before="60"/>
              <w:jc w:val="center"/>
            </w:pPr>
            <w:r>
              <w:rPr>
                <w:rFonts w:ascii="Arial" w:cs="Arial" w:eastAsia="Arial" w:hAnsi="Arial"/>
                <w:b/>
                <w:bCs/>
                <w:i w:val="false"/>
                <w:iCs w:val="false"/>
                <w:color w:val="0197CA"/>
                <w:sz w:val="18"/>
                <w:szCs w:val="18"/>
              </w:rPr>
              <w:t xml:space="preserve">— Cohort Coach  ·  Navigator C.O.R.E.</w:t>
            </w:r>
          </w:p>
        </w:tc>
      </w:tr>
    </w:tbl>
    <w:p>
      <w:pPr>
        <w:spacing w:after="80" w:before="80"/>
      </w:pPr>
      <w:r>
        <w:t xml:space="preserve"/>
      </w:r>
    </w:p>
    <w:p>
      <w:pPr>
        <w:spacing w:after="40" w:before="200"/>
        <w:jc w:val="left"/>
      </w:pPr>
      <w:r>
        <w:rPr>
          <w:rFonts w:ascii="Arial" w:cs="Arial" w:eastAsia="Arial" w:hAnsi="Arial"/>
          <w:b/>
          <w:bCs/>
          <w:i w:val="false"/>
          <w:iCs w:val="false"/>
          <w:color w:val="80C342"/>
          <w:sz w:val="18"/>
          <w:szCs w:val="18"/>
        </w:rPr>
        <w:t xml:space="preserve">TWO SIDES, ONE ECOSYSTEM</w:t>
      </w:r>
    </w:p>
    <w:p>
      <w:pPr>
        <w:spacing w:after="80" w:before="80"/>
        <w:jc w:val="left"/>
      </w:pPr>
      <w:r>
        <w:rPr>
          <w:rFonts w:ascii="Arial" w:cs="Arial" w:eastAsia="Arial" w:hAnsi="Arial"/>
          <w:b/>
          <w:bCs/>
          <w:i w:val="false"/>
          <w:iCs w:val="false"/>
          <w:color w:val="010100"/>
          <w:sz w:val="28"/>
          <w:szCs w:val="28"/>
        </w:rPr>
        <w:t xml:space="preserve">The Program Worked Both Ways.</w:t>
      </w:r>
    </w:p>
    <w:p>
      <w:pPr>
        <w:spacing w:after="80" w:before="60"/>
        <w:jc w:val="left"/>
      </w:pPr>
      <w:r>
        <w:rPr>
          <w:rFonts w:ascii="Arial" w:cs="Arial" w:eastAsia="Arial" w:hAnsi="Arial"/>
          <w:b w:val="false"/>
          <w:bCs w:val="false"/>
          <w:i w:val="false"/>
          <w:iCs w:val="false"/>
          <w:color w:val="010100"/>
          <w:sz w:val="22"/>
          <w:szCs w:val="22"/>
        </w:rPr>
        <w:t xml:space="preserve">Navigator C.O.R.E. was built on a simple premise: when business owners get sustained, hands-on support and the local experts delivering it are paid and connected, the entire ecosystem grows stronger. The pilot proved that premise.</w:t>
      </w:r>
    </w:p>
    <w:p>
      <w:pPr>
        <w:spacing w:after="40" w:before="4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spacing w:after="60" w:before="60"/>
              <w:jc w:val="center"/>
            </w:pPr>
            <w:r>
              <w:rPr>
                <w:rFonts w:ascii="Arial" w:cs="Arial" w:eastAsia="Arial" w:hAnsi="Arial"/>
                <w:b/>
                <w:bCs/>
                <w:i w:val="false"/>
                <w:iCs w:val="false"/>
                <w:color w:val="80C342"/>
                <w:sz w:val="48"/>
                <w:szCs w:val="48"/>
              </w:rPr>
              <w:t xml:space="preserve">12</w:t>
            </w:r>
          </w:p>
          <w:p>
            <w:pPr>
              <w:spacing w:after="60" w:before="60"/>
              <w:jc w:val="center"/>
            </w:pPr>
            <w:r>
              <w:rPr>
                <w:rFonts w:ascii="Arial" w:cs="Arial" w:eastAsia="Arial" w:hAnsi="Arial"/>
                <w:b w:val="false"/>
                <w:bCs w:val="false"/>
                <w:i w:val="false"/>
                <w:iCs w:val="false"/>
                <w:color w:val="010100"/>
                <w:sz w:val="18"/>
                <w:szCs w:val="18"/>
              </w:rPr>
              <w:t xml:space="preserve">Business owners served through the pilot</w:t>
            </w:r>
          </w:p>
        </w:tc>
        <w:tc>
          <w:tcPr>
            <w:tcW w:type="dxa" w:w="468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spacing w:after="60" w:before="60"/>
              <w:jc w:val="center"/>
            </w:pPr>
            <w:r>
              <w:rPr>
                <w:rFonts w:ascii="Arial" w:cs="Arial" w:eastAsia="Arial" w:hAnsi="Arial"/>
                <w:b/>
                <w:bCs/>
                <w:i w:val="false"/>
                <w:iCs w:val="false"/>
                <w:color w:val="0197CA"/>
                <w:sz w:val="48"/>
                <w:szCs w:val="48"/>
              </w:rPr>
              <w:t xml:space="preserve">17</w:t>
            </w:r>
          </w:p>
          <w:p>
            <w:pPr>
              <w:spacing w:after="60" w:before="60"/>
              <w:jc w:val="center"/>
            </w:pPr>
            <w:r>
              <w:rPr>
                <w:rFonts w:ascii="Arial" w:cs="Arial" w:eastAsia="Arial" w:hAnsi="Arial"/>
                <w:b w:val="false"/>
                <w:bCs w:val="false"/>
                <w:i w:val="false"/>
                <w:iCs w:val="false"/>
                <w:color w:val="010100"/>
                <w:sz w:val="18"/>
                <w:szCs w:val="18"/>
              </w:rPr>
              <w:t xml:space="preserve">Local TA providers engaged and paid</w:t>
            </w:r>
          </w:p>
        </w:tc>
      </w:tr>
    </w:tbl>
    <w:p>
      <w:pPr>
        <w:spacing w:after="40" w:before="4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spacing w:after="60" w:before="60"/>
              <w:jc w:val="center"/>
            </w:pPr>
            <w:r>
              <w:rPr>
                <w:rFonts w:ascii="Arial" w:cs="Arial" w:eastAsia="Arial" w:hAnsi="Arial"/>
                <w:b/>
                <w:bCs/>
                <w:i w:val="false"/>
                <w:iCs w:val="false"/>
                <w:color w:val="80C342"/>
                <w:sz w:val="40"/>
                <w:szCs w:val="40"/>
              </w:rPr>
              <w:t xml:space="preserve">4</w:t>
            </w:r>
          </w:p>
          <w:p>
            <w:pPr>
              <w:spacing w:after="60" w:before="60"/>
              <w:jc w:val="center"/>
            </w:pPr>
            <w:r>
              <w:rPr>
                <w:rFonts w:ascii="Arial" w:cs="Arial" w:eastAsia="Arial" w:hAnsi="Arial"/>
                <w:b w:val="false"/>
                <w:bCs w:val="false"/>
                <w:i w:val="false"/>
                <w:iCs w:val="false"/>
                <w:color w:val="010100"/>
                <w:sz w:val="18"/>
                <w:szCs w:val="18"/>
              </w:rPr>
              <w:t xml:space="preserve">Jobs Created</w:t>
            </w:r>
          </w:p>
        </w:tc>
        <w:tc>
          <w:tcPr>
            <w:tcW w:type="dxa" w:w="312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spacing w:after="60" w:before="60"/>
              <w:jc w:val="center"/>
            </w:pPr>
            <w:r>
              <w:rPr>
                <w:rFonts w:ascii="Arial" w:cs="Arial" w:eastAsia="Arial" w:hAnsi="Arial"/>
                <w:b/>
                <w:bCs/>
                <w:i w:val="false"/>
                <w:iCs w:val="false"/>
                <w:color w:val="0197CA"/>
                <w:sz w:val="40"/>
                <w:szCs w:val="40"/>
              </w:rPr>
              <w:t xml:space="preserve">2</w:t>
            </w:r>
          </w:p>
          <w:p>
            <w:pPr>
              <w:spacing w:after="60" w:before="60"/>
              <w:jc w:val="center"/>
            </w:pPr>
            <w:r>
              <w:rPr>
                <w:rFonts w:ascii="Arial" w:cs="Arial" w:eastAsia="Arial" w:hAnsi="Arial"/>
                <w:b w:val="false"/>
                <w:bCs w:val="false"/>
                <w:i w:val="false"/>
                <w:iCs w:val="false"/>
                <w:color w:val="010100"/>
                <w:sz w:val="18"/>
                <w:szCs w:val="18"/>
              </w:rPr>
              <w:t xml:space="preserve">Contracts Landed</w:t>
            </w:r>
          </w:p>
        </w:tc>
        <w:tc>
          <w:tcPr>
            <w:tcW w:type="dxa" w:w="312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spacing w:after="60" w:before="60"/>
              <w:jc w:val="center"/>
            </w:pPr>
            <w:r>
              <w:rPr>
                <w:rFonts w:ascii="Arial" w:cs="Arial" w:eastAsia="Arial" w:hAnsi="Arial"/>
                <w:b/>
                <w:bCs/>
                <w:i w:val="false"/>
                <w:iCs w:val="false"/>
                <w:color w:val="010100"/>
                <w:sz w:val="40"/>
                <w:szCs w:val="40"/>
              </w:rPr>
              <w:t xml:space="preserve">1</w:t>
            </w:r>
          </w:p>
          <w:p>
            <w:pPr>
              <w:spacing w:after="60" w:before="60"/>
              <w:jc w:val="center"/>
            </w:pPr>
            <w:r>
              <w:rPr>
                <w:rFonts w:ascii="Arial" w:cs="Arial" w:eastAsia="Arial" w:hAnsi="Arial"/>
                <w:b w:val="false"/>
                <w:bCs w:val="false"/>
                <w:i w:val="false"/>
                <w:iCs w:val="false"/>
                <w:color w:val="010100"/>
                <w:sz w:val="18"/>
                <w:szCs w:val="18"/>
              </w:rPr>
              <w:t xml:space="preserve">Provider-to-Provider Subcontract</w:t>
            </w:r>
          </w:p>
        </w:tc>
      </w:tr>
    </w:tbl>
    <w:p>
      <w:pPr>
        <w:spacing w:after="40" w:before="4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spacing w:after="60" w:before="60"/>
              <w:jc w:val="left"/>
            </w:pPr>
            <w:r>
              <w:rPr>
                <w:rFonts w:ascii="Arial" w:cs="Arial" w:eastAsia="Arial" w:hAnsi="Arial"/>
                <w:b/>
                <w:bCs/>
                <w:i w:val="false"/>
                <w:iCs w:val="false"/>
                <w:color w:val="80C342"/>
                <w:sz w:val="20"/>
                <w:szCs w:val="20"/>
              </w:rPr>
              <w:t xml:space="preserve">For entrepreneurs:</w:t>
            </w:r>
          </w:p>
          <w:p>
            <w:pPr>
              <w:spacing w:after="60" w:before="60"/>
              <w:jc w:val="left"/>
            </w:pPr>
            <w:r>
              <w:rPr>
                <w:rFonts w:ascii="Arial" w:cs="Arial" w:eastAsia="Arial" w:hAnsi="Arial"/>
                <w:b w:val="false"/>
                <w:bCs w:val="false"/>
                <w:i w:val="false"/>
                <w:iCs w:val="false"/>
                <w:color w:val="010100"/>
                <w:sz w:val="20"/>
                <w:szCs w:val="20"/>
              </w:rPr>
              <w:t xml:space="preserve">Nine months of sustained, relationship-based TA.</w:t>
            </w:r>
          </w:p>
          <w:p>
            <w:pPr>
              <w:spacing w:after="60" w:before="60"/>
              <w:jc w:val="left"/>
            </w:pPr>
            <w:r>
              <w:rPr>
                <w:rFonts w:ascii="Arial" w:cs="Arial" w:eastAsia="Arial" w:hAnsi="Arial"/>
                <w:b w:val="false"/>
                <w:bCs w:val="false"/>
                <w:i w:val="false"/>
                <w:iCs w:val="false"/>
                <w:color w:val="010100"/>
                <w:sz w:val="20"/>
                <w:szCs w:val="20"/>
              </w:rPr>
              <w:t xml:space="preserve">Vetted local expertise.</w:t>
            </w:r>
          </w:p>
          <w:p>
            <w:pPr>
              <w:spacing w:after="60" w:before="60"/>
              <w:jc w:val="left"/>
            </w:pPr>
            <w:r>
              <w:rPr>
                <w:rFonts w:ascii="Arial" w:cs="Arial" w:eastAsia="Arial" w:hAnsi="Arial"/>
                <w:b w:val="false"/>
                <w:bCs w:val="false"/>
                <w:i w:val="false"/>
                <w:iCs w:val="false"/>
                <w:color w:val="010100"/>
                <w:sz w:val="20"/>
                <w:szCs w:val="20"/>
              </w:rPr>
              <w:t xml:space="preserve">Operational systems built, not just advised.</w:t>
            </w:r>
          </w:p>
          <w:p>
            <w:pPr>
              <w:spacing w:after="60" w:before="60"/>
              <w:jc w:val="left"/>
            </w:pPr>
            <w:r>
              <w:rPr>
                <w:rFonts w:ascii="Arial" w:cs="Arial" w:eastAsia="Arial" w:hAnsi="Arial"/>
                <w:b w:val="false"/>
                <w:bCs w:val="false"/>
                <w:i w:val="false"/>
                <w:iCs w:val="false"/>
                <w:color w:val="010100"/>
                <w:sz w:val="20"/>
                <w:szCs w:val="20"/>
              </w:rPr>
              <w:t xml:space="preserve">A roadmap from survival to sustainability.</w:t>
            </w:r>
          </w:p>
        </w:tc>
        <w:tc>
          <w:tcPr>
            <w:tcW w:type="dxa" w:w="468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spacing w:after="60" w:before="60"/>
              <w:jc w:val="left"/>
            </w:pPr>
            <w:r>
              <w:rPr>
                <w:rFonts w:ascii="Arial" w:cs="Arial" w:eastAsia="Arial" w:hAnsi="Arial"/>
                <w:b/>
                <w:bCs/>
                <w:i w:val="false"/>
                <w:iCs w:val="false"/>
                <w:color w:val="0197CA"/>
                <w:sz w:val="20"/>
                <w:szCs w:val="20"/>
              </w:rPr>
              <w:t xml:space="preserve">For providers:</w:t>
            </w:r>
          </w:p>
          <w:p>
            <w:pPr>
              <w:spacing w:after="60" w:before="60"/>
              <w:jc w:val="left"/>
            </w:pPr>
            <w:r>
              <w:rPr>
                <w:rFonts w:ascii="Arial" w:cs="Arial" w:eastAsia="Arial" w:hAnsi="Arial"/>
                <w:b w:val="false"/>
                <w:bCs w:val="false"/>
                <w:i w:val="false"/>
                <w:iCs w:val="false"/>
                <w:color w:val="010100"/>
                <w:sz w:val="20"/>
                <w:szCs w:val="20"/>
              </w:rPr>
              <w:t xml:space="preserve">Paid engagements and new revenue streams.</w:t>
            </w:r>
          </w:p>
          <w:p>
            <w:pPr>
              <w:spacing w:after="60" w:before="60"/>
              <w:jc w:val="left"/>
            </w:pPr>
            <w:r>
              <w:rPr>
                <w:rFonts w:ascii="Arial" w:cs="Arial" w:eastAsia="Arial" w:hAnsi="Arial"/>
                <w:b w:val="false"/>
                <w:bCs w:val="false"/>
                <w:i w:val="false"/>
                <w:iCs w:val="false"/>
                <w:color w:val="010100"/>
                <w:sz w:val="20"/>
                <w:szCs w:val="20"/>
              </w:rPr>
              <w:t xml:space="preserve">A marketplace to showcase their craft.</w:t>
            </w:r>
          </w:p>
          <w:p>
            <w:pPr>
              <w:spacing w:after="60" w:before="60"/>
              <w:jc w:val="left"/>
            </w:pPr>
            <w:r>
              <w:rPr>
                <w:rFonts w:ascii="Arial" w:cs="Arial" w:eastAsia="Arial" w:hAnsi="Arial"/>
                <w:b w:val="false"/>
                <w:bCs w:val="false"/>
                <w:i w:val="false"/>
                <w:iCs w:val="false"/>
                <w:color w:val="010100"/>
                <w:sz w:val="20"/>
                <w:szCs w:val="20"/>
              </w:rPr>
              <w:t xml:space="preserve">Expanded reach into new client networks.</w:t>
            </w:r>
          </w:p>
          <w:p>
            <w:pPr>
              <w:spacing w:after="60" w:before="60"/>
              <w:jc w:val="left"/>
            </w:pPr>
            <w:r>
              <w:rPr>
                <w:rFonts w:ascii="Arial" w:cs="Arial" w:eastAsia="Arial" w:hAnsi="Arial"/>
                <w:b w:val="false"/>
                <w:bCs w:val="false"/>
                <w:i w:val="false"/>
                <w:iCs w:val="false"/>
                <w:color w:val="010100"/>
                <w:sz w:val="20"/>
                <w:szCs w:val="20"/>
              </w:rPr>
              <w:t xml:space="preserve">Deeper ties across the Birmingham ecosystem.</w:t>
            </w:r>
          </w:p>
        </w:tc>
      </w:tr>
    </w:tbl>
    <w:p>
      <w:pPr>
        <w:spacing w:after="40" w:before="4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0"/>
          <w:bottom w:type="dxa" w:w="0"/>
        </w:tblCellMar>
      </w:tblPr>
      <w:tblGrid>
        <w:gridCol w:w="9360"/>
      </w:tblGrid>
      <w:tr>
        <w:tc>
          <w:tcPr>
            <w:tcW w:type="dxa" w:w="9360"/>
            <w:tcBorders>
              <w:top w:val="none" w:color="FFFFFF" w:sz="0"/>
              <w:left w:val="none" w:color="FFFFFF" w:sz="0"/>
              <w:bottom w:val="none" w:color="FFFFFF" w:sz="0"/>
              <w:right w:val="none" w:color="FFFFFF" w:sz="0"/>
            </w:tcBorders>
            <w:shd w:fill="E8F6FC" w:val="clear"/>
            <w:tcMar>
              <w:top w:type="dxa" w:w="100"/>
              <w:left w:type="dxa" w:w="140"/>
              <w:bottom w:type="dxa" w:w="100"/>
              <w:right w:type="dxa" w:w="140"/>
            </w:tcMar>
            <w:vAlign w:val="center"/>
          </w:tcPr>
          <w:p>
            <w:pPr>
              <w:spacing w:after="60" w:before="60"/>
              <w:jc w:val="center"/>
            </w:pPr>
            <w:r>
              <w:rPr>
                <w:rFonts w:ascii="Arial" w:cs="Arial" w:eastAsia="Arial" w:hAnsi="Arial"/>
                <w:b/>
                <w:bCs/>
                <w:color w:val="0197CA"/>
                <w:sz w:val="24"/>
                <w:szCs w:val="24"/>
              </w:rPr>
              <w:t xml:space="preserve">“</w:t>
            </w:r>
            <w:r>
              <w:rPr>
                <w:rFonts w:ascii="Arial" w:cs="Arial" w:eastAsia="Arial" w:hAnsi="Arial"/>
                <w:b/>
                <w:bCs/>
                <w:i/>
                <w:iCs/>
                <w:color w:val="010100"/>
                <w:sz w:val="22"/>
                <w:szCs w:val="22"/>
              </w:rPr>
              <w:t xml:space="preserve">Your business must be designed to fit into your life, not compete with it.</w:t>
            </w:r>
            <w:r>
              <w:rPr>
                <w:rFonts w:ascii="Arial" w:cs="Arial" w:eastAsia="Arial" w:hAnsi="Arial"/>
                <w:b/>
                <w:bCs/>
                <w:color w:val="0197CA"/>
                <w:sz w:val="24"/>
                <w:szCs w:val="24"/>
              </w:rPr>
              <w:t xml:space="preserve">”</w:t>
            </w:r>
          </w:p>
          <w:p>
            <w:pPr>
              <w:spacing w:after="60" w:before="60"/>
              <w:jc w:val="center"/>
            </w:pPr>
            <w:r>
              <w:rPr>
                <w:rFonts w:ascii="Arial" w:cs="Arial" w:eastAsia="Arial" w:hAnsi="Arial"/>
                <w:b/>
                <w:bCs/>
                <w:i w:val="false"/>
                <w:iCs w:val="false"/>
                <w:color w:val="0197CA"/>
                <w:sz w:val="18"/>
                <w:szCs w:val="18"/>
              </w:rPr>
              <w:t xml:space="preserve">— Cohort Participant  ·  Navigator C.O.R.E.</w:t>
            </w:r>
          </w:p>
        </w:tc>
      </w:tr>
    </w:tbl>
    <w:p>
      <w:pPr>
        <w:spacing w:after="80" w:before="80"/>
      </w:pPr>
      <w:r>
        <w:t xml:space="preserve"/>
      </w:r>
    </w:p>
    <w:p>
      <w:pPr>
        <w:spacing w:after="40" w:before="200"/>
        <w:jc w:val="left"/>
      </w:pPr>
      <w:r>
        <w:rPr>
          <w:rFonts w:ascii="Arial" w:cs="Arial" w:eastAsia="Arial" w:hAnsi="Arial"/>
          <w:b/>
          <w:bCs/>
          <w:i w:val="false"/>
          <w:iCs w:val="false"/>
          <w:color w:val="80C342"/>
          <w:sz w:val="18"/>
          <w:szCs w:val="18"/>
        </w:rPr>
        <w:t xml:space="preserve">WHAT THIS PILOT COST AND WHAT IT PRODUCED</w:t>
      </w:r>
    </w:p>
    <w:p>
      <w:pPr>
        <w:spacing w:after="80" w:before="80"/>
        <w:jc w:val="left"/>
      </w:pPr>
      <w:r>
        <w:rPr>
          <w:rFonts w:ascii="Arial" w:cs="Arial" w:eastAsia="Arial" w:hAnsi="Arial"/>
          <w:b/>
          <w:bCs/>
          <w:i w:val="false"/>
          <w:iCs w:val="false"/>
          <w:color w:val="010100"/>
          <w:sz w:val="28"/>
          <w:szCs w:val="28"/>
        </w:rPr>
        <w:t xml:space="preserve">Entrepreneurs Do Not Simply Need Access. They Need Orchestration.</w:t>
      </w:r>
    </w:p>
    <w:p>
      <w:pPr>
        <w:spacing w:after="80" w:before="60"/>
        <w:jc w:val="left"/>
      </w:pPr>
      <w:r>
        <w:rPr>
          <w:rFonts w:ascii="Arial" w:cs="Arial" w:eastAsia="Arial" w:hAnsi="Arial"/>
          <w:b w:val="false"/>
          <w:bCs w:val="false"/>
          <w:i w:val="false"/>
          <w:iCs w:val="false"/>
          <w:color w:val="010100"/>
          <w:sz w:val="22"/>
          <w:szCs w:val="22"/>
        </w:rPr>
        <w:t xml:space="preserve">The highest-need support categories across the cohort (admin, branding, and coaching) cluster around a single concept: orchestration. Not information. Not referrals. Not another workshop. Sustained coordination of the right resources around the right person at the right time.</w:t>
      </w:r>
    </w:p>
    <w:p>
      <w:pPr>
        <w:spacing w:after="80" w:before="60"/>
        <w:jc w:val="left"/>
      </w:pPr>
      <w:r>
        <w:rPr>
          <w:rFonts w:ascii="Arial" w:cs="Arial" w:eastAsia="Arial" w:hAnsi="Arial"/>
          <w:b w:val="false"/>
          <w:bCs w:val="false"/>
          <w:i w:val="false"/>
          <w:iCs w:val="false"/>
          <w:color w:val="010100"/>
          <w:sz w:val="22"/>
          <w:szCs w:val="22"/>
        </w:rPr>
        <w:t xml:space="preserve">That kind of orchestration has historically been available only to businesses with the budget to purchase it at market rates. Navigator C.O.R.E. made it accessible.</w:t>
      </w:r>
    </w:p>
    <w:p>
      <w:pPr>
        <w:spacing w:after="40" w:before="4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CCCCC" w:sz="1"/>
              <w:left w:val="single" w:color="CCCCCC" w:sz="1"/>
              <w:bottom w:val="single" w:color="CCCCCC" w:sz="1"/>
              <w:right w:val="single" w:color="CCCCCC" w:sz="1"/>
            </w:tcBorders>
            <w:shd w:fill="EDF7E3" w:val="clear"/>
            <w:tcMar>
              <w:top w:type="dxa" w:w="100"/>
              <w:left w:type="dxa" w:w="140"/>
              <w:bottom w:type="dxa" w:w="100"/>
              <w:right w:type="dxa" w:w="140"/>
            </w:tcMar>
            <w:vAlign w:val="center"/>
          </w:tcPr>
          <w:p>
            <w:pPr>
              <w:spacing w:after="60" w:before="60"/>
              <w:jc w:val="center"/>
            </w:pPr>
            <w:r>
              <w:rPr>
                <w:rFonts w:ascii="Arial" w:cs="Arial" w:eastAsia="Arial" w:hAnsi="Arial"/>
                <w:b/>
                <w:bCs/>
                <w:i w:val="false"/>
                <w:iCs w:val="false"/>
                <w:color w:val="80C342"/>
                <w:sz w:val="40"/>
                <w:szCs w:val="40"/>
              </w:rPr>
              <w:t xml:space="preserve">$9,416</w:t>
            </w:r>
          </w:p>
          <w:p>
            <w:pPr>
              <w:spacing w:after="60" w:before="60"/>
              <w:jc w:val="center"/>
            </w:pPr>
            <w:r>
              <w:rPr>
                <w:rFonts w:ascii="Arial" w:cs="Arial" w:eastAsia="Arial" w:hAnsi="Arial"/>
                <w:b w:val="false"/>
                <w:bCs w:val="false"/>
                <w:i w:val="false"/>
                <w:iCs w:val="false"/>
                <w:color w:val="010100"/>
                <w:sz w:val="18"/>
                <w:szCs w:val="18"/>
              </w:rPr>
              <w:t xml:space="preserve">Total program investment per entrepreneur for 9 months of sustained TA</w:t>
            </w:r>
          </w:p>
        </w:tc>
        <w:tc>
          <w:tcPr>
            <w:tcW w:type="dxa" w:w="4680"/>
            <w:tcBorders>
              <w:top w:val="single" w:color="CCCCCC" w:sz="1"/>
              <w:left w:val="single" w:color="CCCCCC" w:sz="1"/>
              <w:bottom w:val="single" w:color="CCCCCC" w:sz="1"/>
              <w:right w:val="single" w:color="CCCCCC" w:sz="1"/>
            </w:tcBorders>
            <w:shd w:fill="EDF7E3" w:val="clear"/>
            <w:tcMar>
              <w:top w:type="dxa" w:w="100"/>
              <w:left w:type="dxa" w:w="140"/>
              <w:bottom w:type="dxa" w:w="100"/>
              <w:right w:type="dxa" w:w="140"/>
            </w:tcMar>
            <w:vAlign w:val="center"/>
          </w:tcPr>
          <w:p>
            <w:pPr>
              <w:spacing w:after="60" w:before="60"/>
              <w:jc w:val="center"/>
            </w:pPr>
            <w:r>
              <w:rPr>
                <w:rFonts w:ascii="Arial" w:cs="Arial" w:eastAsia="Arial" w:hAnsi="Arial"/>
                <w:b/>
                <w:bCs/>
                <w:i w:val="false"/>
                <w:iCs w:val="false"/>
                <w:color w:val="0197CA"/>
                <w:sz w:val="40"/>
                <w:szCs w:val="40"/>
              </w:rPr>
              <w:t xml:space="preserve">$62</w:t>
            </w:r>
          </w:p>
          <w:p>
            <w:pPr>
              <w:spacing w:after="60" w:before="60"/>
              <w:jc w:val="center"/>
            </w:pPr>
            <w:r>
              <w:rPr>
                <w:rFonts w:ascii="Arial" w:cs="Arial" w:eastAsia="Arial" w:hAnsi="Arial"/>
                <w:b w:val="false"/>
                <w:bCs w:val="false"/>
                <w:i w:val="false"/>
                <w:iCs w:val="false"/>
                <w:color w:val="010100"/>
                <w:sz w:val="18"/>
                <w:szCs w:val="18"/>
              </w:rPr>
              <w:t xml:space="preserve">Cost per hour of TA paid to vetted local providers; revenue stayed local</w:t>
            </w:r>
          </w:p>
        </w:tc>
      </w:tr>
    </w:tbl>
    <w:p>
      <w:pPr>
        <w:spacing w:after="40" w:before="40"/>
      </w:pPr>
      <w:r>
        <w:t xml:space="preserve"/>
      </w:r>
    </w:p>
    <w:p>
      <w:pPr>
        <w:spacing w:after="80" w:before="60"/>
        <w:jc w:val="left"/>
      </w:pPr>
      <w:r>
        <w:rPr>
          <w:rFonts w:ascii="Arial" w:cs="Arial" w:eastAsia="Arial" w:hAnsi="Arial"/>
          <w:b w:val="false"/>
          <w:bCs w:val="false"/>
          <w:i w:val="false"/>
          <w:iCs w:val="false"/>
          <w:color w:val="010100"/>
          <w:sz w:val="22"/>
          <w:szCs w:val="22"/>
        </w:rPr>
        <w:t xml:space="preserve">The $9,416 per-entrepreneur figure reflects the full program investment: provider stipends, coordination infrastructure, platform access, and coaching. At $62 per hour of delivered technical assistance, Navigator C.O.R.E. produced sustained, relationship-based support at a fraction of what comparable private-sector consulting would cost, while keeping every dollar in the local economy.</w:t>
      </w:r>
    </w:p>
    <w:p>
      <w:pPr>
        <w:spacing w:after="80" w:before="80"/>
      </w:pPr>
      <w:r>
        <w:t xml:space="preserve"/>
      </w:r>
    </w:p>
    <w:p>
      <w:pPr>
        <w:spacing w:after="40" w:before="200"/>
        <w:jc w:val="left"/>
      </w:pPr>
      <w:r>
        <w:rPr>
          <w:rFonts w:ascii="Arial" w:cs="Arial" w:eastAsia="Arial" w:hAnsi="Arial"/>
          <w:b/>
          <w:bCs/>
          <w:i w:val="false"/>
          <w:iCs w:val="false"/>
          <w:color w:val="80C342"/>
          <w:sz w:val="18"/>
          <w:szCs w:val="18"/>
        </w:rPr>
        <w:t xml:space="preserve">THE CASE FOR INVESTMENT</w:t>
      </w:r>
    </w:p>
    <w:p>
      <w:pPr>
        <w:spacing w:after="80" w:before="80"/>
        <w:jc w:val="left"/>
      </w:pPr>
      <w:r>
        <w:rPr>
          <w:rFonts w:ascii="Arial" w:cs="Arial" w:eastAsia="Arial" w:hAnsi="Arial"/>
          <w:b/>
          <w:bCs/>
          <w:i w:val="false"/>
          <w:iCs w:val="false"/>
          <w:color w:val="010100"/>
          <w:sz w:val="28"/>
          <w:szCs w:val="28"/>
        </w:rPr>
        <w:t xml:space="preserve">What We Know Now That We Didn’t Know Before.</w:t>
      </w:r>
    </w:p>
    <w:p>
      <w:pPr>
        <w:spacing w:after="80" w:before="60"/>
        <w:jc w:val="left"/>
      </w:pPr>
      <w:r>
        <w:rPr>
          <w:rFonts w:ascii="Arial" w:cs="Arial" w:eastAsia="Arial" w:hAnsi="Arial"/>
          <w:b w:val="false"/>
          <w:bCs w:val="false"/>
          <w:i w:val="false"/>
          <w:iCs w:val="false"/>
          <w:color w:val="010100"/>
          <w:sz w:val="22"/>
          <w:szCs w:val="22"/>
        </w:rPr>
        <w:t xml:space="preserve">Navigator C.O.R.E. was built on a theory of change. What the first cohort gave us is the data to sharpen it and the confidence to scale it.</w:t>
      </w:r>
    </w:p>
    <w:p>
      <w:pPr>
        <w:spacing w:after="40" w:before="60"/>
        <w:jc w:val="left"/>
      </w:pPr>
      <w:r>
        <w:rPr>
          <w:rFonts w:ascii="Arial" w:cs="Arial" w:eastAsia="Arial" w:hAnsi="Arial"/>
          <w:b/>
          <w:bCs/>
          <w:i w:val="false"/>
          <w:iCs w:val="false"/>
          <w:color w:val="010100"/>
          <w:sz w:val="24"/>
          <w:szCs w:val="24"/>
        </w:rPr>
        <w:t xml:space="preserve">On Engagement</w:t>
      </w:r>
    </w:p>
    <w:p>
      <w:pPr>
        <w:spacing w:after="80" w:before="60"/>
        <w:jc w:val="left"/>
      </w:pPr>
      <w:r>
        <w:rPr>
          <w:rFonts w:ascii="Arial" w:cs="Arial" w:eastAsia="Arial" w:hAnsi="Arial"/>
          <w:b w:val="false"/>
          <w:bCs w:val="false"/>
          <w:i w:val="false"/>
          <w:iCs w:val="false"/>
          <w:color w:val="010100"/>
          <w:sz w:val="22"/>
          <w:szCs w:val="22"/>
        </w:rPr>
        <w:t xml:space="preserve">Slow engagement is not disengagement. An owner who goes two weeks without responding to a provider is not checked out of their business. They are overwhelmed by it. Programs that measure engagement by response rate are measuring the wrong thing. C.O.R.E. measures it by trajectory.</w:t>
      </w:r>
    </w:p>
    <w:p>
      <w:pPr>
        <w:spacing w:after="40" w:before="60"/>
        <w:jc w:val="left"/>
      </w:pPr>
      <w:r>
        <w:rPr>
          <w:rFonts w:ascii="Arial" w:cs="Arial" w:eastAsia="Arial" w:hAnsi="Arial"/>
          <w:b/>
          <w:bCs/>
          <w:i w:val="false"/>
          <w:iCs w:val="false"/>
          <w:color w:val="010100"/>
          <w:sz w:val="24"/>
          <w:szCs w:val="24"/>
        </w:rPr>
        <w:t xml:space="preserve">On Matching</w:t>
      </w:r>
    </w:p>
    <w:p>
      <w:pPr>
        <w:spacing w:after="80" w:before="60"/>
        <w:jc w:val="left"/>
      </w:pPr>
      <w:r>
        <w:rPr>
          <w:rFonts w:ascii="Arial" w:cs="Arial" w:eastAsia="Arial" w:hAnsi="Arial"/>
          <w:b w:val="false"/>
          <w:bCs w:val="false"/>
          <w:i w:val="false"/>
          <w:iCs w:val="false"/>
          <w:color w:val="010100"/>
          <w:sz w:val="22"/>
          <w:szCs w:val="22"/>
        </w:rPr>
        <w:t xml:space="preserve">The relationship between owner and provider determines more outcomes than any individual deliverable. When the match worked, everything followed. Future cohorts will invest in intentional matching that accounts for communication style and work cadence, not just technical need.</w:t>
      </w:r>
    </w:p>
    <w:p>
      <w:pPr>
        <w:spacing w:after="40" w:before="60"/>
        <w:jc w:val="left"/>
      </w:pPr>
      <w:r>
        <w:rPr>
          <w:rFonts w:ascii="Arial" w:cs="Arial" w:eastAsia="Arial" w:hAnsi="Arial"/>
          <w:b/>
          <w:bCs/>
          <w:i w:val="false"/>
          <w:iCs w:val="false"/>
          <w:color w:val="010100"/>
          <w:sz w:val="24"/>
          <w:szCs w:val="24"/>
        </w:rPr>
        <w:t xml:space="preserve">On Time</w:t>
      </w:r>
    </w:p>
    <w:p>
      <w:pPr>
        <w:spacing w:after="80" w:before="60"/>
        <w:jc w:val="left"/>
      </w:pPr>
      <w:r>
        <w:rPr>
          <w:rFonts w:ascii="Arial" w:cs="Arial" w:eastAsia="Arial" w:hAnsi="Arial"/>
          <w:b w:val="false"/>
          <w:bCs w:val="false"/>
          <w:i w:val="false"/>
          <w:iCs w:val="false"/>
          <w:color w:val="010100"/>
          <w:sz w:val="22"/>
          <w:szCs w:val="22"/>
        </w:rPr>
        <w:t xml:space="preserve">Nine months is both long and short. Long enough to build trust and produce real change. Short enough that a two-month ramp-up leaves only seven months of real runway. Cohort 2 front-loads onboarding so every month is used intentionally.</w:t>
      </w:r>
    </w:p>
    <w:p>
      <w:pPr>
        <w:spacing w:after="40" w:before="60"/>
        <w:jc w:val="left"/>
      </w:pPr>
      <w:r>
        <w:rPr>
          <w:rFonts w:ascii="Arial" w:cs="Arial" w:eastAsia="Arial" w:hAnsi="Arial"/>
          <w:b/>
          <w:bCs/>
          <w:i w:val="false"/>
          <w:iCs w:val="false"/>
          <w:color w:val="010100"/>
          <w:sz w:val="24"/>
          <w:szCs w:val="24"/>
        </w:rPr>
        <w:t xml:space="preserve">On the Ecosystem</w:t>
      </w:r>
    </w:p>
    <w:p>
      <w:pPr>
        <w:spacing w:after="80" w:before="60"/>
        <w:jc w:val="left"/>
      </w:pPr>
      <w:r>
        <w:rPr>
          <w:rFonts w:ascii="Arial" w:cs="Arial" w:eastAsia="Arial" w:hAnsi="Arial"/>
          <w:b w:val="false"/>
          <w:bCs w:val="false"/>
          <w:i w:val="false"/>
          <w:iCs w:val="false"/>
          <w:color w:val="010100"/>
          <w:sz w:val="22"/>
          <w:szCs w:val="22"/>
        </w:rPr>
        <w:t xml:space="preserve">The most durable outcomes of this program are not in any single deliverable. They are in the relationships, the provider network, and the coordination infrastructure that now exist and can be built upon. That infrastructure is the product.</w:t>
      </w:r>
    </w:p>
    <w:p>
      <w:pPr>
        <w:spacing w:after="40" w:before="4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808"/>
        <w:gridCol w:w="4212"/>
      </w:tblGrid>
      <w:tr>
        <w:tc>
          <w:tcPr>
            <w:tcW w:type="dxa" w:w="2340"/>
            <w:tcBorders>
              <w:top w:val="none" w:color="FFFFFF" w:sz="0"/>
              <w:left w:val="none" w:color="FFFFFF" w:sz="0"/>
              <w:bottom w:val="none" w:color="FFFFFF" w:sz="0"/>
              <w:right w:val="none" w:color="FFFFFF" w:sz="0"/>
            </w:tcBorders>
            <w:shd w:fill="0197CA" w:val="clear"/>
            <w:tcMar>
              <w:top w:type="dxa" w:w="100"/>
              <w:left w:type="dxa" w:w="140"/>
              <w:bottom w:type="dxa" w:w="100"/>
              <w:right w:type="dxa" w:w="140"/>
            </w:tcMar>
            <w:vAlign w:val="center"/>
          </w:tcPr>
          <w:p>
            <w:pPr>
              <w:spacing w:after="60" w:before="60"/>
              <w:jc w:val="left"/>
            </w:pPr>
            <w:r>
              <w:rPr>
                <w:rFonts w:ascii="Arial" w:cs="Arial" w:eastAsia="Arial" w:hAnsi="Arial"/>
                <w:b/>
                <w:bCs/>
                <w:i w:val="false"/>
                <w:iCs w:val="false"/>
                <w:color w:val="FFFFFF"/>
                <w:sz w:val="20"/>
                <w:szCs w:val="20"/>
              </w:rPr>
              <w:t xml:space="preserve">Tier</w:t>
            </w:r>
          </w:p>
        </w:tc>
        <w:tc>
          <w:tcPr>
            <w:tcW w:type="dxa" w:w="2808"/>
            <w:tcBorders>
              <w:top w:val="none" w:color="FFFFFF" w:sz="0"/>
              <w:left w:val="none" w:color="FFFFFF" w:sz="0"/>
              <w:bottom w:val="none" w:color="FFFFFF" w:sz="0"/>
              <w:right w:val="none" w:color="FFFFFF" w:sz="0"/>
            </w:tcBorders>
            <w:shd w:fill="0197CA" w:val="clear"/>
            <w:tcMar>
              <w:top w:type="dxa" w:w="100"/>
              <w:left w:type="dxa" w:w="140"/>
              <w:bottom w:type="dxa" w:w="100"/>
              <w:right w:type="dxa" w:w="140"/>
            </w:tcMar>
            <w:vAlign w:val="center"/>
          </w:tcPr>
          <w:p>
            <w:pPr>
              <w:spacing w:after="60" w:before="60"/>
              <w:jc w:val="left"/>
            </w:pPr>
            <w:r>
              <w:rPr>
                <w:rFonts w:ascii="Arial" w:cs="Arial" w:eastAsia="Arial" w:hAnsi="Arial"/>
                <w:b/>
                <w:bCs/>
                <w:i w:val="false"/>
                <w:iCs w:val="false"/>
                <w:color w:val="FFFFFF"/>
                <w:sz w:val="20"/>
                <w:szCs w:val="20"/>
              </w:rPr>
              <w:t xml:space="preserve">Investment Level</w:t>
            </w:r>
          </w:p>
        </w:tc>
        <w:tc>
          <w:tcPr>
            <w:tcW w:type="dxa" w:w="4212"/>
            <w:tcBorders>
              <w:top w:val="none" w:color="FFFFFF" w:sz="0"/>
              <w:left w:val="none" w:color="FFFFFF" w:sz="0"/>
              <w:bottom w:val="none" w:color="FFFFFF" w:sz="0"/>
              <w:right w:val="none" w:color="FFFFFF" w:sz="0"/>
            </w:tcBorders>
            <w:shd w:fill="0197CA" w:val="clear"/>
            <w:tcMar>
              <w:top w:type="dxa" w:w="100"/>
              <w:left w:type="dxa" w:w="140"/>
              <w:bottom w:type="dxa" w:w="100"/>
              <w:right w:type="dxa" w:w="140"/>
            </w:tcMar>
            <w:vAlign w:val="center"/>
          </w:tcPr>
          <w:p>
            <w:pPr>
              <w:spacing w:after="60" w:before="60"/>
              <w:jc w:val="left"/>
            </w:pPr>
            <w:r>
              <w:rPr>
                <w:rFonts w:ascii="Arial" w:cs="Arial" w:eastAsia="Arial" w:hAnsi="Arial"/>
                <w:b/>
                <w:bCs/>
                <w:i w:val="false"/>
                <w:iCs w:val="false"/>
                <w:color w:val="FFFFFF"/>
                <w:sz w:val="20"/>
                <w:szCs w:val="20"/>
              </w:rPr>
              <w:t xml:space="preserve">What Your Investment Supports</w:t>
            </w:r>
          </w:p>
        </w:tc>
      </w:tr>
      <w:tr>
        <w:tc>
          <w:tcPr>
            <w:tcW w:type="dxa" w:w="2340"/>
            <w:tcBorders>
              <w:top w:val="single" w:color="CCCCCC" w:sz="1"/>
              <w:left w:val="single" w:color="CCCCCC" w:sz="1"/>
              <w:bottom w:val="single" w:color="CCCCCC" w:sz="1"/>
              <w:right w:val="single" w:color="CCCCCC" w:sz="1"/>
            </w:tcBorders>
            <w:shd w:fill="EDF7E3" w:val="clear"/>
            <w:tcMar>
              <w:top w:type="dxa" w:w="100"/>
              <w:left w:type="dxa" w:w="140"/>
              <w:bottom w:type="dxa" w:w="100"/>
              <w:right w:type="dxa" w:w="140"/>
            </w:tcMar>
            <w:vAlign w:val="center"/>
          </w:tcPr>
          <w:p>
            <w:pPr>
              <w:spacing w:after="60" w:before="60"/>
              <w:jc w:val="left"/>
            </w:pPr>
            <w:r>
              <w:rPr>
                <w:rFonts w:ascii="Arial" w:cs="Arial" w:eastAsia="Arial" w:hAnsi="Arial"/>
                <w:b/>
                <w:bCs/>
                <w:i w:val="false"/>
                <w:iCs w:val="false"/>
                <w:color w:val="80C342"/>
                <w:sz w:val="20"/>
                <w:szCs w:val="20"/>
              </w:rPr>
              <w:t xml:space="preserve">Catalyst</w:t>
            </w:r>
          </w:p>
        </w:tc>
        <w:tc>
          <w:tcPr>
            <w:tcW w:type="dxa" w:w="2808"/>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spacing w:after="60" w:before="60"/>
              <w:jc w:val="left"/>
            </w:pPr>
            <w:r>
              <w:rPr>
                <w:rFonts w:ascii="Arial" w:cs="Arial" w:eastAsia="Arial" w:hAnsi="Arial"/>
                <w:b w:val="false"/>
                <w:bCs w:val="false"/>
                <w:i w:val="false"/>
                <w:iCs w:val="false"/>
                <w:color w:val="010100"/>
                <w:sz w:val="20"/>
                <w:szCs w:val="20"/>
              </w:rPr>
              <w:t xml:space="preserve">$10,000 to $24,999</w:t>
            </w:r>
          </w:p>
        </w:tc>
        <w:tc>
          <w:tcPr>
            <w:tcW w:type="dxa" w:w="4212"/>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spacing w:after="60" w:before="60"/>
              <w:jc w:val="left"/>
            </w:pPr>
            <w:r>
              <w:rPr>
                <w:rFonts w:ascii="Arial" w:cs="Arial" w:eastAsia="Arial" w:hAnsi="Arial"/>
                <w:b w:val="false"/>
                <w:bCs w:val="false"/>
                <w:i w:val="false"/>
                <w:iCs w:val="false"/>
                <w:color w:val="010100"/>
                <w:sz w:val="20"/>
                <w:szCs w:val="20"/>
              </w:rPr>
              <w:t xml:space="preserve">One full participant: 9 months of TA, provider fees, platform access, coordination</w:t>
            </w:r>
          </w:p>
        </w:tc>
      </w:tr>
      <w:tr>
        <w:tc>
          <w:tcPr>
            <w:tcW w:type="dxa" w:w="2340"/>
            <w:tcBorders>
              <w:top w:val="single" w:color="CCCCCC" w:sz="1"/>
              <w:left w:val="single" w:color="CCCCCC" w:sz="1"/>
              <w:bottom w:val="single" w:color="CCCCCC" w:sz="1"/>
              <w:right w:val="single" w:color="CCCCCC" w:sz="1"/>
            </w:tcBorders>
            <w:shd w:fill="EDF7E3" w:val="clear"/>
            <w:tcMar>
              <w:top w:type="dxa" w:w="100"/>
              <w:left w:type="dxa" w:w="140"/>
              <w:bottom w:type="dxa" w:w="100"/>
              <w:right w:type="dxa" w:w="140"/>
            </w:tcMar>
            <w:vAlign w:val="center"/>
          </w:tcPr>
          <w:p>
            <w:pPr>
              <w:spacing w:after="60" w:before="60"/>
              <w:jc w:val="left"/>
            </w:pPr>
            <w:r>
              <w:rPr>
                <w:rFonts w:ascii="Arial" w:cs="Arial" w:eastAsia="Arial" w:hAnsi="Arial"/>
                <w:b/>
                <w:bCs/>
                <w:i w:val="false"/>
                <w:iCs w:val="false"/>
                <w:color w:val="80C342"/>
                <w:sz w:val="20"/>
                <w:szCs w:val="20"/>
              </w:rPr>
              <w:t xml:space="preserve">Navigator</w:t>
            </w:r>
          </w:p>
        </w:tc>
        <w:tc>
          <w:tcPr>
            <w:tcW w:type="dxa" w:w="2808"/>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spacing w:after="60" w:before="60"/>
              <w:jc w:val="left"/>
            </w:pPr>
            <w:r>
              <w:rPr>
                <w:rFonts w:ascii="Arial" w:cs="Arial" w:eastAsia="Arial" w:hAnsi="Arial"/>
                <w:b w:val="false"/>
                <w:bCs w:val="false"/>
                <w:i w:val="false"/>
                <w:iCs w:val="false"/>
                <w:color w:val="010100"/>
                <w:sz w:val="20"/>
                <w:szCs w:val="20"/>
              </w:rPr>
              <w:t xml:space="preserve">$25,000 to $49,999</w:t>
            </w:r>
          </w:p>
        </w:tc>
        <w:tc>
          <w:tcPr>
            <w:tcW w:type="dxa" w:w="4212"/>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spacing w:after="60" w:before="60"/>
              <w:jc w:val="left"/>
            </w:pPr>
            <w:r>
              <w:rPr>
                <w:rFonts w:ascii="Arial" w:cs="Arial" w:eastAsia="Arial" w:hAnsi="Arial"/>
                <w:b w:val="false"/>
                <w:bCs w:val="false"/>
                <w:i w:val="false"/>
                <w:iCs w:val="false"/>
                <w:color w:val="010100"/>
                <w:sz w:val="20"/>
                <w:szCs w:val="20"/>
              </w:rPr>
              <w:t xml:space="preserve">Full cohort sponsorship + provider capacity building + platform development</w:t>
            </w:r>
          </w:p>
        </w:tc>
      </w:tr>
      <w:tr>
        <w:tc>
          <w:tcPr>
            <w:tcW w:type="dxa" w:w="2340"/>
            <w:tcBorders>
              <w:top w:val="single" w:color="CCCCCC" w:sz="1"/>
              <w:left w:val="single" w:color="CCCCCC" w:sz="1"/>
              <w:bottom w:val="single" w:color="CCCCCC" w:sz="1"/>
              <w:right w:val="single" w:color="CCCCCC" w:sz="1"/>
            </w:tcBorders>
            <w:shd w:fill="EDF7E3" w:val="clear"/>
            <w:tcMar>
              <w:top w:type="dxa" w:w="100"/>
              <w:left w:type="dxa" w:w="140"/>
              <w:bottom w:type="dxa" w:w="100"/>
              <w:right w:type="dxa" w:w="140"/>
            </w:tcMar>
            <w:vAlign w:val="center"/>
          </w:tcPr>
          <w:p>
            <w:pPr>
              <w:spacing w:after="60" w:before="60"/>
              <w:jc w:val="left"/>
            </w:pPr>
            <w:r>
              <w:rPr>
                <w:rFonts w:ascii="Arial" w:cs="Arial" w:eastAsia="Arial" w:hAnsi="Arial"/>
                <w:b/>
                <w:bCs/>
                <w:i w:val="false"/>
                <w:iCs w:val="false"/>
                <w:color w:val="80C342"/>
                <w:sz w:val="20"/>
                <w:szCs w:val="20"/>
              </w:rPr>
              <w:t xml:space="preserve">Architect</w:t>
            </w:r>
          </w:p>
        </w:tc>
        <w:tc>
          <w:tcPr>
            <w:tcW w:type="dxa" w:w="2808"/>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spacing w:after="60" w:before="60"/>
              <w:jc w:val="left"/>
            </w:pPr>
            <w:r>
              <w:rPr>
                <w:rFonts w:ascii="Arial" w:cs="Arial" w:eastAsia="Arial" w:hAnsi="Arial"/>
                <w:b w:val="false"/>
                <w:bCs w:val="false"/>
                <w:i w:val="false"/>
                <w:iCs w:val="false"/>
                <w:color w:val="010100"/>
                <w:sz w:val="20"/>
                <w:szCs w:val="20"/>
              </w:rPr>
              <w:t xml:space="preserve">$50,000+</w:t>
            </w:r>
          </w:p>
        </w:tc>
        <w:tc>
          <w:tcPr>
            <w:tcW w:type="dxa" w:w="4212"/>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spacing w:after="60" w:before="60"/>
              <w:jc w:val="left"/>
            </w:pPr>
            <w:r>
              <w:rPr>
                <w:rFonts w:ascii="Arial" w:cs="Arial" w:eastAsia="Arial" w:hAnsi="Arial"/>
                <w:b w:val="false"/>
                <w:bCs w:val="false"/>
                <w:i w:val="false"/>
                <w:iCs w:val="false"/>
                <w:color w:val="010100"/>
                <w:sz w:val="20"/>
                <w:szCs w:val="20"/>
              </w:rPr>
              <w:t xml:space="preserve">Program replication, second-city launch, named partnership across the C.O.R.E. network</w:t>
            </w:r>
          </w:p>
        </w:tc>
      </w:tr>
    </w:tbl>
    <w:p>
      <w:pPr>
        <w:spacing w:after="80" w:before="80"/>
      </w:pPr>
      <w:r>
        <w:t xml:space="preserve"/>
      </w:r>
    </w:p>
    <w:p>
      <w:pPr>
        <w:spacing w:after="40" w:before="200"/>
        <w:jc w:val="left"/>
      </w:pPr>
      <w:r>
        <w:rPr>
          <w:rFonts w:ascii="Arial" w:cs="Arial" w:eastAsia="Arial" w:hAnsi="Arial"/>
          <w:b/>
          <w:bCs/>
          <w:i w:val="false"/>
          <w:iCs w:val="false"/>
          <w:color w:val="80C342"/>
          <w:sz w:val="18"/>
          <w:szCs w:val="18"/>
        </w:rPr>
        <w:t xml:space="preserve">THE INVITATION</w:t>
      </w:r>
    </w:p>
    <w:p>
      <w:pPr>
        <w:spacing w:after="80" w:before="80"/>
        <w:jc w:val="left"/>
      </w:pPr>
      <w:r>
        <w:rPr>
          <w:rFonts w:ascii="Arial" w:cs="Arial" w:eastAsia="Arial" w:hAnsi="Arial"/>
          <w:b/>
          <w:bCs/>
          <w:i w:val="false"/>
          <w:iCs w:val="false"/>
          <w:color w:val="80C342"/>
          <w:sz w:val="28"/>
          <w:szCs w:val="28"/>
        </w:rPr>
        <w:t xml:space="preserve">Movement Is Not the Same as Navigation.</w:t>
      </w:r>
    </w:p>
    <w:p>
      <w:pPr>
        <w:spacing w:after="80" w:before="60"/>
        <w:jc w:val="left"/>
      </w:pPr>
      <w:r>
        <w:rPr>
          <w:rFonts w:ascii="Arial" w:cs="Arial" w:eastAsia="Arial" w:hAnsi="Arial"/>
          <w:b w:val="false"/>
          <w:bCs w:val="false"/>
          <w:i w:val="false"/>
          <w:iCs w:val="false"/>
          <w:color w:val="010100"/>
          <w:sz w:val="22"/>
          <w:szCs w:val="22"/>
        </w:rPr>
        <w:t xml:space="preserve">Thousands of small business owners across Birmingham and the Southeast are moving. Posting. Networking. Showing up. Working hard. But movement without navigation leads to exhaustion, not destination.</w:t>
      </w:r>
    </w:p>
    <w:p>
      <w:pPr>
        <w:spacing w:after="80" w:before="60"/>
        <w:jc w:val="left"/>
      </w:pPr>
      <w:r>
        <w:rPr>
          <w:rFonts w:ascii="Arial" w:cs="Arial" w:eastAsia="Arial" w:hAnsi="Arial"/>
          <w:b w:val="false"/>
          <w:bCs w:val="false"/>
          <w:i w:val="false"/>
          <w:iCs w:val="false"/>
          <w:color w:val="010100"/>
          <w:sz w:val="22"/>
          <w:szCs w:val="22"/>
        </w:rPr>
        <w:t xml:space="preserve">The help they need already exists in their own communities. Local experts. Peer networks. Civic infrastructure. What has been missing is the coordination layer: the system that matches the right support to the right business at the right time and stays long enough to make sure it lands.</w:t>
      </w:r>
    </w:p>
    <w:p>
      <w:pPr>
        <w:spacing w:after="80" w:before="60"/>
        <w:jc w:val="left"/>
      </w:pPr>
      <w:r>
        <w:rPr>
          <w:rFonts w:ascii="Arial" w:cs="Arial" w:eastAsia="Arial" w:hAnsi="Arial"/>
          <w:b w:val="false"/>
          <w:bCs w:val="false"/>
          <w:i w:val="false"/>
          <w:iCs w:val="false"/>
          <w:color w:val="010100"/>
          <w:sz w:val="22"/>
          <w:szCs w:val="22"/>
        </w:rPr>
        <w:t xml:space="preserve">Navigator C.O.R.E. built that layer. Tested it. Learned from it. And proved it works.</w:t>
      </w:r>
    </w:p>
    <w:p>
      <w:pPr>
        <w:spacing w:after="80" w:before="60"/>
        <w:jc w:val="left"/>
      </w:pPr>
      <w:r>
        <w:rPr>
          <w:rFonts w:ascii="Arial" w:cs="Arial" w:eastAsia="Arial" w:hAnsi="Arial"/>
          <w:b w:val="false"/>
          <w:bCs w:val="false"/>
          <w:i w:val="false"/>
          <w:iCs w:val="false"/>
          <w:color w:val="010100"/>
          <w:sz w:val="22"/>
          <w:szCs w:val="22"/>
        </w:rPr>
        <w:t xml:space="preserve">Cohort 1 was the experiment. Cohort 2 is the investment. The invitation is open to funders, partners, and ecosystem builders who are ready to stop theorizing about what small businesses need and start building the infrastructure that delivers it.</w:t>
      </w:r>
    </w:p>
    <w:p>
      <w:pPr>
        <w:spacing w:after="8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0"/>
          <w:bottom w:type="dxa" w:w="0"/>
        </w:tblCellMar>
      </w:tblPr>
      <w:tblGrid>
        <w:gridCol w:w="9360"/>
      </w:tblGrid>
      <w:tr>
        <w:tc>
          <w:tcPr>
            <w:tcW w:type="dxa" w:w="9360"/>
            <w:tcBorders>
              <w:top w:val="none" w:color="FFFFFF" w:sz="0"/>
              <w:left w:val="none" w:color="FFFFFF" w:sz="0"/>
              <w:bottom w:val="none" w:color="FFFFFF" w:sz="0"/>
              <w:right w:val="none" w:color="FFFFFF" w:sz="0"/>
            </w:tcBorders>
            <w:shd w:fill="0197CA" w:val="clear"/>
            <w:tcMar>
              <w:top w:type="dxa" w:w="100"/>
              <w:left w:type="dxa" w:w="140"/>
              <w:bottom w:type="dxa" w:w="100"/>
              <w:right w:type="dxa" w:w="140"/>
            </w:tcMar>
            <w:vAlign w:val="center"/>
          </w:tcPr>
          <w:p>
            <w:pPr>
              <w:spacing w:after="60" w:before="60"/>
              <w:jc w:val="center"/>
            </w:pPr>
            <w:r>
              <w:rPr>
                <w:rFonts w:ascii="Arial" w:cs="Arial" w:eastAsia="Arial" w:hAnsi="Arial"/>
                <w:b/>
                <w:bCs/>
                <w:i w:val="false"/>
                <w:iCs w:val="false"/>
                <w:color w:val="FFFFFF"/>
                <w:sz w:val="22"/>
                <w:szCs w:val="22"/>
              </w:rPr>
              <w:t xml:space="preserve">Connect with Network Navigator</w:t>
            </w:r>
          </w:p>
          <w:p>
            <w:pPr>
              <w:spacing w:after="60" w:before="60"/>
              <w:jc w:val="center"/>
            </w:pPr>
            <w:r>
              <w:rPr>
                <w:rFonts w:ascii="Arial" w:cs="Arial" w:eastAsia="Arial" w:hAnsi="Arial"/>
                <w:b w:val="false"/>
                <w:bCs w:val="false"/>
                <w:i w:val="false"/>
                <w:iCs w:val="false"/>
                <w:color w:val="FFFFFF"/>
                <w:sz w:val="20"/>
                <w:szCs w:val="20"/>
              </w:rPr>
              <w:t xml:space="preserve">navigatebhm.com  ·  naila@networknavigator.org</w:t>
            </w:r>
          </w:p>
          <w:p>
            <w:pPr>
              <w:spacing w:after="60" w:before="60"/>
              <w:jc w:val="center"/>
            </w:pPr>
            <w:r>
              <w:rPr>
                <w:rFonts w:ascii="Arial" w:cs="Arial" w:eastAsia="Arial" w:hAnsi="Arial"/>
                <w:b w:val="false"/>
                <w:bCs w:val="false"/>
                <w:i w:val="false"/>
                <w:iCs w:val="false"/>
                <w:color w:val="FFFFFF"/>
                <w:sz w:val="18"/>
                <w:szCs w:val="18"/>
              </w:rPr>
              <w:t xml:space="preserve">Birmingham, Alabama  ·  Network Navigator is a registered 501(c)(3) nonprofit organization.</w:t>
            </w:r>
          </w:p>
          <w:p>
            <w:pPr>
              <w:spacing w:after="60" w:before="60"/>
              <w:jc w:val="center"/>
            </w:pPr>
            <w:r>
              <w:rPr>
                <w:rFonts w:ascii="Arial" w:cs="Arial" w:eastAsia="Arial" w:hAnsi="Arial"/>
                <w:b w:val="false"/>
                <w:bCs w:val="false"/>
                <w:i/>
                <w:iCs/>
                <w:color w:val="FFFFFF"/>
                <w:sz w:val="16"/>
                <w:szCs w:val="16"/>
              </w:rPr>
              <w:t xml:space="preserve">© 2026 Network Navigator. Proprietary program design. Not for redistribution without permission.</w:t>
            </w:r>
          </w:p>
        </w:tc>
      </w:tr>
    </w:tbl>
    <w:sectPr>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2026-06-07T02:03:30.172Z</dcterms:created>
  <dcterms:modified xsi:type="dcterms:W3CDTF">2026-06-07T02:03:30.184Z</dcterms:modified>
</cp:coreProperties>
</file>

<file path=docProps/custom.xml><?xml version="1.0" encoding="utf-8"?>
<Properties xmlns="http://schemas.openxmlformats.org/officeDocument/2006/custom-properties" xmlns:vt="http://schemas.openxmlformats.org/officeDocument/2006/docPropsVTypes"/>
</file>